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00D9" w14:textId="77777777" w:rsidR="004C2058" w:rsidRDefault="00F83067" w:rsidP="005157E4">
      <w:pPr>
        <w:spacing w:after="300"/>
        <w:jc w:val="center"/>
        <w:rPr>
          <w:b/>
          <w:lang w:val="sr-Latn-RS"/>
        </w:rPr>
      </w:pPr>
      <w:r>
        <w:rPr>
          <w:b/>
          <w:lang w:val="sr-Latn-RS"/>
        </w:rPr>
        <w:t>Eksploatacioni učinci ugljenih sistema na površinskom kopu Tamnava</w:t>
      </w:r>
      <w:r w:rsidR="009576C4">
        <w:rPr>
          <w:b/>
          <w:lang w:val="sr-Latn-RS"/>
        </w:rPr>
        <w:t>–</w:t>
      </w:r>
      <w:r>
        <w:rPr>
          <w:b/>
          <w:lang w:val="sr-Latn-RS"/>
        </w:rPr>
        <w:t>Zapadno polje</w:t>
      </w:r>
    </w:p>
    <w:p w14:paraId="0C8D7F32" w14:textId="77777777" w:rsidR="00F83067" w:rsidRDefault="004C2058" w:rsidP="00727198">
      <w:pPr>
        <w:jc w:val="center"/>
        <w:rPr>
          <w:b/>
          <w:lang w:val="sr-Latn-RS"/>
        </w:rPr>
      </w:pPr>
      <w:r>
        <w:rPr>
          <w:b/>
          <w:lang w:val="sr-Latn-RS"/>
        </w:rPr>
        <w:t xml:space="preserve">Exploatation effects of coal systems on </w:t>
      </w:r>
      <w:r w:rsidR="00AF3EC7">
        <w:rPr>
          <w:b/>
          <w:lang w:val="sr-Latn-RS"/>
        </w:rPr>
        <w:t>the open</w:t>
      </w:r>
      <w:r>
        <w:rPr>
          <w:b/>
          <w:lang w:val="sr-Latn-RS"/>
        </w:rPr>
        <w:t xml:space="preserve"> pit mine Tamnava–West field</w:t>
      </w:r>
    </w:p>
    <w:p w14:paraId="2B554608" w14:textId="62159A1C" w:rsidR="009576C4" w:rsidRPr="00152FE7" w:rsidRDefault="009576C4" w:rsidP="009576C4">
      <w:pPr>
        <w:spacing w:after="300"/>
        <w:jc w:val="center"/>
        <w:rPr>
          <w:sz w:val="23"/>
          <w:szCs w:val="23"/>
          <w:vertAlign w:val="superscript"/>
          <w:lang w:val="sr-Latn-RS"/>
        </w:rPr>
      </w:pPr>
      <w:r w:rsidRPr="00152FE7">
        <w:rPr>
          <w:sz w:val="23"/>
          <w:szCs w:val="23"/>
          <w:lang w:val="sr-Latn-RS"/>
        </w:rPr>
        <w:t>Marko Lazić</w:t>
      </w:r>
      <w:r w:rsidR="00F83067" w:rsidRPr="00152FE7">
        <w:rPr>
          <w:rStyle w:val="FootnoteReference"/>
          <w:sz w:val="23"/>
          <w:szCs w:val="23"/>
          <w:lang w:val="sr-Latn-RS"/>
        </w:rPr>
        <w:footnoteReference w:id="1"/>
      </w:r>
      <w:r w:rsidRPr="00152FE7">
        <w:rPr>
          <w:sz w:val="23"/>
          <w:szCs w:val="23"/>
          <w:lang w:val="sr-Latn-RS"/>
        </w:rPr>
        <w:t>, Filip Miletić</w:t>
      </w:r>
      <w:r w:rsidR="00F83067" w:rsidRPr="00152FE7">
        <w:rPr>
          <w:rStyle w:val="FootnoteReference"/>
          <w:sz w:val="23"/>
          <w:szCs w:val="23"/>
          <w:lang w:val="sr-Latn-RS"/>
        </w:rPr>
        <w:footnoteReference w:id="2"/>
      </w:r>
      <w:r w:rsidR="001503D5" w:rsidRPr="00152FE7">
        <w:rPr>
          <w:sz w:val="23"/>
          <w:szCs w:val="23"/>
          <w:lang w:val="sr-Latn-RS"/>
        </w:rPr>
        <w:t xml:space="preserve">, </w:t>
      </w:r>
      <w:r w:rsidR="00A92DCF">
        <w:rPr>
          <w:sz w:val="23"/>
          <w:szCs w:val="23"/>
          <w:lang w:val="sr-Latn-RS"/>
        </w:rPr>
        <w:t>Milena Lekić</w:t>
      </w:r>
      <w:r w:rsidR="00A92DCF">
        <w:rPr>
          <w:sz w:val="23"/>
          <w:szCs w:val="23"/>
          <w:vertAlign w:val="superscript"/>
          <w:lang w:val="sr-Latn-RS"/>
        </w:rPr>
        <w:t>2</w:t>
      </w:r>
      <w:r w:rsidR="001503D5" w:rsidRPr="00152FE7">
        <w:rPr>
          <w:sz w:val="23"/>
          <w:szCs w:val="23"/>
          <w:lang w:val="sr-Latn-RS"/>
        </w:rPr>
        <w:t>, Veljko Rupar</w:t>
      </w:r>
      <w:r w:rsidR="00743BCB" w:rsidRPr="00152FE7">
        <w:rPr>
          <w:sz w:val="23"/>
          <w:szCs w:val="23"/>
          <w:vertAlign w:val="superscript"/>
          <w:lang w:val="sr-Latn-RS"/>
        </w:rPr>
        <w:t>2</w:t>
      </w:r>
      <w:r w:rsidR="001503D5" w:rsidRPr="00152FE7">
        <w:rPr>
          <w:sz w:val="23"/>
          <w:szCs w:val="23"/>
          <w:lang w:val="sr-Latn-RS"/>
        </w:rPr>
        <w:t>, Željko Petrović</w:t>
      </w:r>
      <w:r w:rsidR="00743BCB" w:rsidRPr="00152FE7">
        <w:rPr>
          <w:rStyle w:val="FootnoteReference"/>
          <w:sz w:val="23"/>
          <w:szCs w:val="23"/>
          <w:lang w:val="sr-Latn-RS"/>
        </w:rPr>
        <w:footnoteReference w:id="3"/>
      </w:r>
      <w:r w:rsidR="00152FE7" w:rsidRPr="00152FE7">
        <w:rPr>
          <w:sz w:val="23"/>
          <w:szCs w:val="23"/>
          <w:lang w:val="sr-Latn-RS"/>
        </w:rPr>
        <w:t>, Lazar Žujović</w:t>
      </w:r>
      <w:r w:rsidR="00152FE7">
        <w:rPr>
          <w:rStyle w:val="FootnoteReference"/>
          <w:sz w:val="23"/>
          <w:szCs w:val="23"/>
          <w:lang w:val="sr-Latn-RS"/>
        </w:rPr>
        <w:footnoteReference w:id="4"/>
      </w:r>
    </w:p>
    <w:p w14:paraId="016C6279" w14:textId="0C960648" w:rsidR="009576C4" w:rsidRPr="0083548A" w:rsidRDefault="009576C4" w:rsidP="00B31049">
      <w:pPr>
        <w:rPr>
          <w:i/>
          <w:sz w:val="21"/>
          <w:szCs w:val="21"/>
          <w:lang w:val="sr-Latn-RS"/>
        </w:rPr>
      </w:pPr>
      <w:r w:rsidRPr="0083548A">
        <w:rPr>
          <w:b/>
          <w:i/>
          <w:sz w:val="21"/>
          <w:szCs w:val="21"/>
          <w:lang w:val="sr-Latn-RS"/>
        </w:rPr>
        <w:t>Rezime:</w:t>
      </w:r>
      <w:r w:rsidRPr="0083548A">
        <w:rPr>
          <w:i/>
          <w:sz w:val="21"/>
          <w:szCs w:val="21"/>
          <w:lang w:val="sr-Latn-RS"/>
        </w:rPr>
        <w:t xml:space="preserve"> U radu su analizirani eksploatacioni učinci ugljenih sistema na površinskom kopu Tamnava–Zapadno polje</w:t>
      </w:r>
      <w:r w:rsidR="00D75557" w:rsidRPr="0083548A">
        <w:rPr>
          <w:i/>
          <w:sz w:val="21"/>
          <w:szCs w:val="21"/>
          <w:lang w:val="sr-Latn-RS"/>
        </w:rPr>
        <w:t>.</w:t>
      </w:r>
      <w:r w:rsidRPr="0083548A">
        <w:rPr>
          <w:i/>
          <w:sz w:val="21"/>
          <w:szCs w:val="21"/>
          <w:lang w:val="sr-Latn-RS"/>
        </w:rPr>
        <w:t xml:space="preserve"> </w:t>
      </w:r>
      <w:r w:rsidR="00D75557" w:rsidRPr="0083548A">
        <w:rPr>
          <w:i/>
          <w:sz w:val="21"/>
          <w:szCs w:val="21"/>
          <w:lang w:val="sr-Latn-RS"/>
        </w:rPr>
        <w:t xml:space="preserve">Period analize je </w:t>
      </w:r>
      <w:r w:rsidRPr="0083548A">
        <w:rPr>
          <w:i/>
          <w:sz w:val="21"/>
          <w:szCs w:val="21"/>
          <w:lang w:val="sr-Latn-RS"/>
        </w:rPr>
        <w:t xml:space="preserve">prvih šest meseci tekuće godine. Analiza je vršena sa aspekta ostvarene proizvodnje, </w:t>
      </w:r>
      <w:r w:rsidR="004C2058" w:rsidRPr="0083548A">
        <w:rPr>
          <w:i/>
          <w:sz w:val="21"/>
          <w:szCs w:val="21"/>
          <w:lang w:val="sr-Latn-RS"/>
        </w:rPr>
        <w:t xml:space="preserve">kvaliteta uglja, efektivnog vremena rada, </w:t>
      </w:r>
      <w:r w:rsidR="001503D5" w:rsidRPr="0083548A">
        <w:rPr>
          <w:i/>
          <w:sz w:val="21"/>
          <w:szCs w:val="21"/>
          <w:lang w:val="sr-Latn-RS"/>
        </w:rPr>
        <w:t>kapacitetnog i vremenskog iskoršćenja i zastoja sistema</w:t>
      </w:r>
      <w:r w:rsidR="00D75557" w:rsidRPr="0083548A">
        <w:rPr>
          <w:i/>
          <w:sz w:val="21"/>
          <w:szCs w:val="21"/>
          <w:lang w:val="sr-Latn-RS"/>
        </w:rPr>
        <w:t xml:space="preserve">. Za poređenje podataka različitih parametara koji po svojoj prirodi nisu međusobno uporedivi, u radu su korišćene </w:t>
      </w:r>
      <w:r w:rsidRPr="0083548A">
        <w:rPr>
          <w:i/>
          <w:sz w:val="21"/>
          <w:szCs w:val="21"/>
          <w:lang w:val="sr-Latn-RS"/>
        </w:rPr>
        <w:t>metod</w:t>
      </w:r>
      <w:r w:rsidR="00D75557" w:rsidRPr="0083548A">
        <w:rPr>
          <w:i/>
          <w:sz w:val="21"/>
          <w:szCs w:val="21"/>
          <w:lang w:val="sr-Latn-RS"/>
        </w:rPr>
        <w:t>e</w:t>
      </w:r>
      <w:r w:rsidRPr="0083548A">
        <w:rPr>
          <w:i/>
          <w:sz w:val="21"/>
          <w:szCs w:val="21"/>
          <w:lang w:val="sr-Latn-RS"/>
        </w:rPr>
        <w:t xml:space="preserve"> višekriterijumskog odlučivanja.</w:t>
      </w:r>
    </w:p>
    <w:p w14:paraId="360A6CF6" w14:textId="313C2879" w:rsidR="00311CBB" w:rsidRPr="0083548A" w:rsidRDefault="00311CBB" w:rsidP="009576C4">
      <w:pPr>
        <w:rPr>
          <w:i/>
          <w:sz w:val="21"/>
          <w:szCs w:val="21"/>
          <w:lang w:val="sr-Latn-RS"/>
        </w:rPr>
      </w:pPr>
      <w:r w:rsidRPr="0083548A">
        <w:rPr>
          <w:b/>
          <w:i/>
          <w:sz w:val="21"/>
          <w:szCs w:val="21"/>
          <w:lang w:val="sr-Latn-RS"/>
        </w:rPr>
        <w:t>Abstract:</w:t>
      </w:r>
      <w:r w:rsidR="004C2058" w:rsidRPr="0083548A">
        <w:rPr>
          <w:b/>
          <w:i/>
          <w:sz w:val="21"/>
          <w:szCs w:val="21"/>
          <w:lang w:val="sr-Latn-RS"/>
        </w:rPr>
        <w:t xml:space="preserve"> </w:t>
      </w:r>
      <w:r w:rsidR="005B2061" w:rsidRPr="005B2061">
        <w:rPr>
          <w:i/>
          <w:sz w:val="21"/>
          <w:szCs w:val="21"/>
          <w:lang w:val="sr-Latn-RS"/>
        </w:rPr>
        <w:t>This paper analyzed the exploitation effects of coal systems at the open</w:t>
      </w:r>
      <w:r w:rsidR="005B2061" w:rsidRPr="0083548A">
        <w:rPr>
          <w:i/>
          <w:sz w:val="21"/>
          <w:szCs w:val="21"/>
          <w:lang w:val="sr-Latn-RS"/>
        </w:rPr>
        <w:t>–</w:t>
      </w:r>
      <w:r w:rsidR="005B2061" w:rsidRPr="005B2061">
        <w:rPr>
          <w:i/>
          <w:sz w:val="21"/>
          <w:szCs w:val="21"/>
          <w:lang w:val="sr-Latn-RS"/>
        </w:rPr>
        <w:t>pit mine Tamnava–West field for the first six months of the current year. The analysis was performed in the aspect of rea</w:t>
      </w:r>
      <w:r w:rsidR="00855948">
        <w:rPr>
          <w:i/>
          <w:sz w:val="21"/>
          <w:szCs w:val="21"/>
          <w:lang w:val="sr-Latn-RS"/>
        </w:rPr>
        <w:t>ched</w:t>
      </w:r>
      <w:r w:rsidR="005B2061" w:rsidRPr="005B2061">
        <w:rPr>
          <w:i/>
          <w:sz w:val="21"/>
          <w:szCs w:val="21"/>
          <w:lang w:val="sr-Latn-RS"/>
        </w:rPr>
        <w:t xml:space="preserve"> production, coal quality, effective working time, capacity and time utilization and system stoppage using multicriteria decision</w:t>
      </w:r>
      <w:r w:rsidR="007B516F" w:rsidRPr="0083548A">
        <w:rPr>
          <w:i/>
          <w:sz w:val="21"/>
          <w:szCs w:val="21"/>
          <w:lang w:val="sr-Latn-RS"/>
        </w:rPr>
        <w:t>–</w:t>
      </w:r>
      <w:r w:rsidR="005B2061" w:rsidRPr="005B2061">
        <w:rPr>
          <w:i/>
          <w:sz w:val="21"/>
          <w:szCs w:val="21"/>
          <w:lang w:val="sr-Latn-RS"/>
        </w:rPr>
        <w:t>making methods.</w:t>
      </w:r>
    </w:p>
    <w:p w14:paraId="4902EB44" w14:textId="0FC45CE3" w:rsidR="009576C4" w:rsidRPr="0083548A" w:rsidRDefault="009576C4" w:rsidP="009576C4">
      <w:pPr>
        <w:rPr>
          <w:i/>
          <w:sz w:val="21"/>
          <w:szCs w:val="21"/>
          <w:lang w:val="sr-Latn-RS"/>
        </w:rPr>
      </w:pPr>
      <w:r w:rsidRPr="0083548A">
        <w:rPr>
          <w:b/>
          <w:i/>
          <w:sz w:val="21"/>
          <w:szCs w:val="21"/>
          <w:lang w:val="sr-Latn-RS"/>
        </w:rPr>
        <w:t>Klju</w:t>
      </w:r>
      <w:r w:rsidR="00D75557" w:rsidRPr="0083548A">
        <w:rPr>
          <w:b/>
          <w:i/>
          <w:sz w:val="21"/>
          <w:szCs w:val="21"/>
          <w:lang w:val="sr-Latn-RS"/>
        </w:rPr>
        <w:t>č</w:t>
      </w:r>
      <w:r w:rsidRPr="0083548A">
        <w:rPr>
          <w:b/>
          <w:i/>
          <w:sz w:val="21"/>
          <w:szCs w:val="21"/>
          <w:lang w:val="sr-Latn-RS"/>
        </w:rPr>
        <w:t>ne reči:</w:t>
      </w:r>
      <w:r w:rsidRPr="0083548A">
        <w:rPr>
          <w:i/>
          <w:sz w:val="21"/>
          <w:szCs w:val="21"/>
          <w:lang w:val="sr-Latn-RS"/>
        </w:rPr>
        <w:t xml:space="preserve"> proizvodnja uglja, zastoji, metode višekriteriju</w:t>
      </w:r>
      <w:r w:rsidR="00B31049" w:rsidRPr="0083548A">
        <w:rPr>
          <w:i/>
          <w:sz w:val="21"/>
          <w:szCs w:val="21"/>
          <w:lang w:val="sr-Latn-RS"/>
        </w:rPr>
        <w:t>ms</w:t>
      </w:r>
      <w:r w:rsidRPr="0083548A">
        <w:rPr>
          <w:i/>
          <w:sz w:val="21"/>
          <w:szCs w:val="21"/>
          <w:lang w:val="sr-Latn-RS"/>
        </w:rPr>
        <w:t xml:space="preserve">kog odlučivanja </w:t>
      </w:r>
    </w:p>
    <w:p w14:paraId="1008631A" w14:textId="5BA85E9C" w:rsidR="00311CBB" w:rsidRPr="0083548A" w:rsidRDefault="00311CBB" w:rsidP="0083548A">
      <w:pPr>
        <w:spacing w:after="0"/>
        <w:rPr>
          <w:i/>
          <w:sz w:val="21"/>
          <w:szCs w:val="21"/>
          <w:lang w:val="sr-Latn-RS"/>
        </w:rPr>
      </w:pPr>
      <w:r w:rsidRPr="0083548A">
        <w:rPr>
          <w:b/>
          <w:i/>
          <w:sz w:val="21"/>
          <w:szCs w:val="21"/>
          <w:lang w:val="sr-Latn-RS"/>
        </w:rPr>
        <w:t>Keywords</w:t>
      </w:r>
      <w:r w:rsidRPr="0083548A">
        <w:rPr>
          <w:i/>
          <w:sz w:val="21"/>
          <w:szCs w:val="21"/>
          <w:lang w:val="sr-Latn-RS"/>
        </w:rPr>
        <w:t>:</w:t>
      </w:r>
      <w:r w:rsidR="00B31049" w:rsidRPr="0083548A">
        <w:rPr>
          <w:i/>
          <w:sz w:val="21"/>
          <w:szCs w:val="21"/>
          <w:lang w:val="sr-Latn-RS"/>
        </w:rPr>
        <w:t xml:space="preserve"> coal production, stoppage, multicriteria decision</w:t>
      </w:r>
      <w:r w:rsidR="00C847DA" w:rsidRPr="0083548A">
        <w:rPr>
          <w:i/>
          <w:sz w:val="21"/>
          <w:szCs w:val="21"/>
          <w:lang w:val="sr-Latn-RS"/>
        </w:rPr>
        <w:t>–</w:t>
      </w:r>
      <w:r w:rsidR="00B31049" w:rsidRPr="0083548A">
        <w:rPr>
          <w:i/>
          <w:sz w:val="21"/>
          <w:szCs w:val="21"/>
          <w:lang w:val="sr-Latn-RS"/>
        </w:rPr>
        <w:t>making methods</w:t>
      </w:r>
    </w:p>
    <w:p w14:paraId="2CCE964B" w14:textId="77777777" w:rsidR="00F83067" w:rsidRPr="009576C4" w:rsidRDefault="00F83067" w:rsidP="009576C4">
      <w:pPr>
        <w:rPr>
          <w:i/>
          <w:sz w:val="22"/>
          <w:lang w:val="sr-Latn-RS"/>
        </w:rPr>
      </w:pPr>
    </w:p>
    <w:p w14:paraId="0C68776B" w14:textId="77777777" w:rsidR="009576C4" w:rsidRDefault="009576C4" w:rsidP="00F83067">
      <w:pPr>
        <w:pStyle w:val="ListParagraph"/>
        <w:numPr>
          <w:ilvl w:val="0"/>
          <w:numId w:val="2"/>
        </w:numPr>
        <w:rPr>
          <w:b/>
          <w:lang w:val="sr-Latn-RS"/>
        </w:rPr>
      </w:pPr>
      <w:r w:rsidRPr="00F83067">
        <w:rPr>
          <w:b/>
          <w:lang w:val="sr-Latn-RS"/>
        </w:rPr>
        <w:t>Uvod</w:t>
      </w:r>
    </w:p>
    <w:p w14:paraId="1EB9F1E1" w14:textId="0CAB2D3A" w:rsidR="0069007E" w:rsidRPr="00421C15" w:rsidRDefault="00821D7F" w:rsidP="00F83067">
      <w:pPr>
        <w:rPr>
          <w:spacing w:val="-4"/>
          <w:lang w:val="sr-Latn-RS"/>
        </w:rPr>
      </w:pPr>
      <w:r>
        <w:rPr>
          <w:spacing w:val="-4"/>
          <w:lang w:val="sr-Latn-RS"/>
        </w:rPr>
        <w:t xml:space="preserve">Cilj </w:t>
      </w:r>
      <w:r w:rsidR="00F83067" w:rsidRPr="00421C15">
        <w:rPr>
          <w:spacing w:val="-4"/>
          <w:lang w:val="sr-Latn-RS"/>
        </w:rPr>
        <w:t xml:space="preserve">eksploatacije uglja na površinskim kopovima je </w:t>
      </w:r>
      <w:r w:rsidR="00537D69" w:rsidRPr="00421C15">
        <w:rPr>
          <w:spacing w:val="-4"/>
          <w:lang w:val="sr-Latn-RS"/>
        </w:rPr>
        <w:t>kontinuirano</w:t>
      </w:r>
      <w:r w:rsidR="001F1B43" w:rsidRPr="00421C15">
        <w:rPr>
          <w:spacing w:val="-4"/>
          <w:lang w:val="sr-Latn-RS"/>
        </w:rPr>
        <w:t xml:space="preserve"> snabdevanje</w:t>
      </w:r>
      <w:r w:rsidR="00F83067" w:rsidRPr="00421C15">
        <w:rPr>
          <w:spacing w:val="-4"/>
          <w:lang w:val="sr-Latn-RS"/>
        </w:rPr>
        <w:t xml:space="preserve"> termoelektrana</w:t>
      </w:r>
      <w:r w:rsidR="001F1B43" w:rsidRPr="00421C15">
        <w:rPr>
          <w:spacing w:val="-4"/>
          <w:lang w:val="sr-Latn-RS"/>
        </w:rPr>
        <w:t xml:space="preserve"> ugljem odgovarajuće toplotne moći uz </w:t>
      </w:r>
      <w:r w:rsidR="00D75557" w:rsidRPr="00421C15">
        <w:rPr>
          <w:spacing w:val="-4"/>
          <w:lang w:val="sr-Latn-RS"/>
        </w:rPr>
        <w:t xml:space="preserve">indukovanje </w:t>
      </w:r>
      <w:r w:rsidR="001F1B43" w:rsidRPr="00421C15">
        <w:rPr>
          <w:spacing w:val="-4"/>
          <w:lang w:val="sr-Latn-RS"/>
        </w:rPr>
        <w:t>minimaln</w:t>
      </w:r>
      <w:r w:rsidR="00D75557" w:rsidRPr="00421C15">
        <w:rPr>
          <w:spacing w:val="-4"/>
          <w:lang w:val="sr-Latn-RS"/>
        </w:rPr>
        <w:t>ih</w:t>
      </w:r>
      <w:r w:rsidR="001F1B43" w:rsidRPr="00421C15">
        <w:rPr>
          <w:spacing w:val="-4"/>
          <w:lang w:val="sr-Latn-RS"/>
        </w:rPr>
        <w:t xml:space="preserve"> </w:t>
      </w:r>
      <w:r w:rsidR="00D75557" w:rsidRPr="00421C15">
        <w:rPr>
          <w:spacing w:val="-4"/>
          <w:lang w:val="sr-Latn-RS"/>
        </w:rPr>
        <w:t xml:space="preserve">mogućih </w:t>
      </w:r>
      <w:r w:rsidR="001F1B43" w:rsidRPr="00421C15">
        <w:rPr>
          <w:spacing w:val="-4"/>
          <w:lang w:val="sr-Latn-RS"/>
        </w:rPr>
        <w:t>troškov</w:t>
      </w:r>
      <w:r w:rsidR="00D75557" w:rsidRPr="00421C15">
        <w:rPr>
          <w:spacing w:val="-4"/>
          <w:lang w:val="sr-Latn-RS"/>
        </w:rPr>
        <w:t>a</w:t>
      </w:r>
      <w:r w:rsidR="00F83067" w:rsidRPr="00421C15">
        <w:rPr>
          <w:spacing w:val="-4"/>
          <w:lang w:val="sr-Latn-RS"/>
        </w:rPr>
        <w:t xml:space="preserve">. </w:t>
      </w:r>
      <w:r w:rsidR="00421C15" w:rsidRPr="00421C15">
        <w:rPr>
          <w:spacing w:val="-4"/>
          <w:lang w:val="sr-Latn-RS"/>
        </w:rPr>
        <w:t>Uslovi eksploatacije uglja u fukciji vremena, postaju neizvesniji</w:t>
      </w:r>
      <w:r w:rsidR="00D75557" w:rsidRPr="00421C15">
        <w:rPr>
          <w:spacing w:val="-4"/>
          <w:lang w:val="sr-Latn-RS"/>
        </w:rPr>
        <w:t>.</w:t>
      </w:r>
      <w:r w:rsidR="00421C15" w:rsidRPr="00421C15">
        <w:rPr>
          <w:spacing w:val="-4"/>
          <w:lang w:val="sr-Latn-RS"/>
        </w:rPr>
        <w:t xml:space="preserve"> Problematika eksploatacije ogleda se u lokacijskim uslovima ležišta gde su kvalitetne partije ležišta otkopane, povećana je raslojenost kao i ugao zaleganja uglja na većinim dubinama i drugi uslovi</w:t>
      </w:r>
      <w:r w:rsidR="001F1B43" w:rsidRPr="00421C15">
        <w:rPr>
          <w:spacing w:val="-4"/>
          <w:lang w:val="sr-Latn-RS"/>
        </w:rPr>
        <w:t xml:space="preserve">. </w:t>
      </w:r>
      <w:r w:rsidR="00421C15" w:rsidRPr="00421C15">
        <w:rPr>
          <w:spacing w:val="-4"/>
          <w:lang w:val="sr-Latn-RS"/>
        </w:rPr>
        <w:t>Čitava problematika, dodatno se usložnjava zahtevima od strane termoelektrana kao i ekološkog aspekta degradacije životne sredine. Uticaj eksploatacije uglja na kvalitet životne sredine je neizostavan i sinhrono prati eksploataciju uglja, odnosno, rudarstvo kao jednu od najznačajnijih privrednih grana naše države</w:t>
      </w:r>
      <w:r w:rsidR="001F1B43" w:rsidRPr="00421C15">
        <w:rPr>
          <w:spacing w:val="-4"/>
          <w:lang w:val="sr-Latn-RS"/>
        </w:rPr>
        <w:t xml:space="preserve">. </w:t>
      </w:r>
      <w:r w:rsidR="00421C15" w:rsidRPr="00421C15">
        <w:rPr>
          <w:spacing w:val="-4"/>
          <w:lang w:val="sr-Latn-RS"/>
        </w:rPr>
        <w:t>Posledično, iz prethodno navedenih činjenica, zaključno je da  problematici eksploatacije uglja treba posvetiti posebnu pažnju, kako bi se ispunili zahtevani kriterijumi. Među najvažnijim kriterijumima, najpre, izdvajaju se količine i kvalitet otkopanog uglja.</w:t>
      </w:r>
    </w:p>
    <w:p w14:paraId="201EDA20" w14:textId="099718D1" w:rsidR="00421C15" w:rsidRPr="00537D69" w:rsidRDefault="00421C15" w:rsidP="00421C15">
      <w:pPr>
        <w:rPr>
          <w:lang w:val="sr-Latn-RS"/>
        </w:rPr>
      </w:pPr>
      <w:r w:rsidRPr="00162812">
        <w:rPr>
          <w:szCs w:val="24"/>
          <w:lang w:val="sr-Latn-RS"/>
        </w:rPr>
        <w:t>Za eksploataciju uglja na površinskim kopovima angažovani su rotorni bageri velikih kapaciteta</w:t>
      </w:r>
      <w:r w:rsidR="004E043C">
        <w:rPr>
          <w:szCs w:val="24"/>
          <w:lang w:val="sr-Latn-RS"/>
        </w:rPr>
        <w:t xml:space="preserve"> </w:t>
      </w:r>
      <w:r w:rsidR="004E043C">
        <w:rPr>
          <w:rFonts w:cs="Times New Roman"/>
          <w:szCs w:val="24"/>
          <w:lang w:val="sr-Latn-RS"/>
        </w:rPr>
        <w:t>[1]</w:t>
      </w:r>
      <w:r w:rsidRPr="00162812">
        <w:rPr>
          <w:szCs w:val="24"/>
          <w:lang w:val="sr-Latn-RS"/>
        </w:rPr>
        <w:t>. Na površinskom kopu Tamnava</w:t>
      </w:r>
      <w:r w:rsidRPr="00162812">
        <w:rPr>
          <w:i/>
          <w:sz w:val="22"/>
          <w:lang w:val="sr-Latn-RS"/>
        </w:rPr>
        <w:t>–</w:t>
      </w:r>
      <w:r w:rsidRPr="00162812">
        <w:rPr>
          <w:szCs w:val="24"/>
          <w:lang w:val="sr-Latn-RS"/>
        </w:rPr>
        <w:t>Zapadno polje eksploatacija uglja vrši se putem četiri BTD sistema sa strukturom opreme prikazanom u tabeli 1.1.</w:t>
      </w:r>
    </w:p>
    <w:p w14:paraId="187F265C" w14:textId="77777777" w:rsidR="00421C15" w:rsidRPr="00162812" w:rsidRDefault="00421C15" w:rsidP="00421C15">
      <w:pPr>
        <w:spacing w:after="20"/>
        <w:rPr>
          <w:rFonts w:cs="Times New Roman"/>
          <w:i/>
          <w:szCs w:val="24"/>
          <w:lang w:val="sr-Latn-RS"/>
        </w:rPr>
      </w:pPr>
      <w:r w:rsidRPr="00162812">
        <w:rPr>
          <w:rFonts w:cs="Times New Roman"/>
          <w:i/>
          <w:szCs w:val="24"/>
          <w:lang w:val="sr-Latn-RS"/>
        </w:rPr>
        <w:t>Tabela 1.1 Struktura opreme na ugljenim sistemima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728"/>
        <w:gridCol w:w="2394"/>
        <w:gridCol w:w="2016"/>
      </w:tblGrid>
      <w:tr w:rsidR="00421C15" w:rsidRPr="00162812" w14:paraId="1DADAA75" w14:textId="77777777" w:rsidTr="00454869">
        <w:trPr>
          <w:trHeight w:val="283"/>
        </w:trPr>
        <w:tc>
          <w:tcPr>
            <w:tcW w:w="1440" w:type="dxa"/>
            <w:shd w:val="clear" w:color="auto" w:fill="F2DBDB" w:themeFill="accent2" w:themeFillTint="33"/>
            <w:vAlign w:val="center"/>
          </w:tcPr>
          <w:p w14:paraId="60EF6412" w14:textId="77777777" w:rsidR="00421C15" w:rsidRPr="00537D69" w:rsidRDefault="00421C15" w:rsidP="00454869">
            <w:pPr>
              <w:spacing w:after="0"/>
              <w:jc w:val="center"/>
              <w:rPr>
                <w:b/>
                <w:bCs/>
                <w:i/>
                <w:iCs/>
                <w:sz w:val="22"/>
                <w:szCs w:val="24"/>
                <w:lang w:val="sr-Latn-RS"/>
              </w:rPr>
            </w:pPr>
            <w:r w:rsidRPr="00537D69">
              <w:rPr>
                <w:b/>
                <w:bCs/>
                <w:i/>
                <w:iCs/>
                <w:sz w:val="22"/>
                <w:szCs w:val="24"/>
                <w:lang w:val="sr-Latn-RS"/>
              </w:rPr>
              <w:t>Sistem</w:t>
            </w:r>
          </w:p>
        </w:tc>
        <w:tc>
          <w:tcPr>
            <w:tcW w:w="1728" w:type="dxa"/>
            <w:shd w:val="clear" w:color="auto" w:fill="F2DBDB" w:themeFill="accent2" w:themeFillTint="33"/>
            <w:vAlign w:val="center"/>
          </w:tcPr>
          <w:p w14:paraId="5ADEFFC6" w14:textId="77777777" w:rsidR="00421C15" w:rsidRPr="00537D69" w:rsidRDefault="00421C15" w:rsidP="00454869">
            <w:pPr>
              <w:spacing w:after="0"/>
              <w:jc w:val="center"/>
              <w:rPr>
                <w:b/>
                <w:bCs/>
                <w:i/>
                <w:iCs/>
                <w:sz w:val="22"/>
                <w:szCs w:val="24"/>
                <w:lang w:val="sr-Latn-RS"/>
              </w:rPr>
            </w:pPr>
            <w:r w:rsidRPr="00537D69">
              <w:rPr>
                <w:b/>
                <w:bCs/>
                <w:i/>
                <w:iCs/>
                <w:sz w:val="22"/>
                <w:szCs w:val="24"/>
                <w:lang w:val="sr-Latn-RS"/>
              </w:rPr>
              <w:t>Bager</w:t>
            </w: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14:paraId="380724B9" w14:textId="77777777" w:rsidR="00421C15" w:rsidRPr="00537D69" w:rsidRDefault="00421C15" w:rsidP="00454869">
            <w:pPr>
              <w:spacing w:after="0"/>
              <w:jc w:val="center"/>
              <w:rPr>
                <w:b/>
                <w:bCs/>
                <w:i/>
                <w:iCs/>
                <w:sz w:val="22"/>
                <w:szCs w:val="24"/>
                <w:lang w:val="sr-Latn-RS"/>
              </w:rPr>
            </w:pPr>
            <w:r w:rsidRPr="00537D69">
              <w:rPr>
                <w:b/>
                <w:bCs/>
                <w:i/>
                <w:iCs/>
                <w:sz w:val="22"/>
                <w:szCs w:val="24"/>
                <w:lang w:val="sr-Latn-RS"/>
              </w:rPr>
              <w:t>Samohodni transporter</w:t>
            </w:r>
          </w:p>
        </w:tc>
        <w:tc>
          <w:tcPr>
            <w:tcW w:w="2016" w:type="dxa"/>
            <w:shd w:val="clear" w:color="auto" w:fill="F2DBDB" w:themeFill="accent2" w:themeFillTint="33"/>
            <w:vAlign w:val="center"/>
          </w:tcPr>
          <w:p w14:paraId="0518A63A" w14:textId="77777777" w:rsidR="00421C15" w:rsidRPr="00537D69" w:rsidRDefault="00421C15" w:rsidP="00454869">
            <w:pPr>
              <w:spacing w:after="0"/>
              <w:jc w:val="center"/>
              <w:rPr>
                <w:b/>
                <w:bCs/>
                <w:i/>
                <w:iCs/>
                <w:sz w:val="22"/>
                <w:szCs w:val="24"/>
                <w:lang w:val="sr-Latn-RS"/>
              </w:rPr>
            </w:pPr>
            <w:r w:rsidRPr="00537D69">
              <w:rPr>
                <w:b/>
                <w:bCs/>
                <w:i/>
                <w:iCs/>
                <w:sz w:val="22"/>
                <w:szCs w:val="24"/>
                <w:lang w:val="sr-Latn-RS"/>
              </w:rPr>
              <w:t>Broj transportera</w:t>
            </w:r>
          </w:p>
        </w:tc>
      </w:tr>
      <w:tr w:rsidR="00421C15" w14:paraId="424CD6CB" w14:textId="77777777" w:rsidTr="00454869">
        <w:trPr>
          <w:trHeight w:val="288"/>
        </w:trPr>
        <w:tc>
          <w:tcPr>
            <w:tcW w:w="1440" w:type="dxa"/>
            <w:vAlign w:val="center"/>
          </w:tcPr>
          <w:p w14:paraId="2A710480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 BTD</w:t>
            </w:r>
          </w:p>
        </w:tc>
        <w:tc>
          <w:tcPr>
            <w:tcW w:w="1728" w:type="dxa"/>
            <w:vAlign w:val="center"/>
          </w:tcPr>
          <w:p w14:paraId="4CC66C9B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SchRs 74</w:t>
            </w:r>
            <w:r w:rsidRPr="00A6190F">
              <w:rPr>
                <w:sz w:val="22"/>
                <w:szCs w:val="24"/>
              </w:rPr>
              <w:t>0 25/6</w:t>
            </w:r>
          </w:p>
        </w:tc>
        <w:tc>
          <w:tcPr>
            <w:tcW w:w="2394" w:type="dxa"/>
            <w:vAlign w:val="center"/>
          </w:tcPr>
          <w:p w14:paraId="7341426F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BRs 1600/(28</w:t>
            </w:r>
            <w:r w:rsidRPr="00A6190F">
              <w:rPr>
                <w:sz w:val="22"/>
                <w:szCs w:val="24"/>
              </w:rPr>
              <w:t>+50)×17</w:t>
            </w:r>
          </w:p>
        </w:tc>
        <w:tc>
          <w:tcPr>
            <w:tcW w:w="2016" w:type="dxa"/>
            <w:vAlign w:val="center"/>
          </w:tcPr>
          <w:p w14:paraId="299E8B25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EB0C34">
              <w:rPr>
                <w:sz w:val="22"/>
                <w:szCs w:val="24"/>
              </w:rPr>
              <w:t>2 pogonske stanice</w:t>
            </w:r>
          </w:p>
        </w:tc>
      </w:tr>
      <w:tr w:rsidR="00421C15" w14:paraId="3F392080" w14:textId="77777777" w:rsidTr="00454869">
        <w:trPr>
          <w:trHeight w:val="288"/>
        </w:trPr>
        <w:tc>
          <w:tcPr>
            <w:tcW w:w="1440" w:type="dxa"/>
            <w:vAlign w:val="center"/>
          </w:tcPr>
          <w:p w14:paraId="18D9071C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II BTD</w:t>
            </w:r>
          </w:p>
        </w:tc>
        <w:tc>
          <w:tcPr>
            <w:tcW w:w="1728" w:type="dxa"/>
            <w:vAlign w:val="center"/>
          </w:tcPr>
          <w:p w14:paraId="58F27D16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SchRs 630 25/6</w:t>
            </w:r>
          </w:p>
        </w:tc>
        <w:tc>
          <w:tcPr>
            <w:tcW w:w="2394" w:type="dxa"/>
            <w:vAlign w:val="center"/>
          </w:tcPr>
          <w:p w14:paraId="69B58C82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BRs 1600/(37+50)×17</w:t>
            </w:r>
          </w:p>
        </w:tc>
        <w:tc>
          <w:tcPr>
            <w:tcW w:w="2016" w:type="dxa"/>
            <w:vAlign w:val="center"/>
          </w:tcPr>
          <w:p w14:paraId="74DC370F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EB0C34">
              <w:rPr>
                <w:sz w:val="22"/>
                <w:szCs w:val="24"/>
              </w:rPr>
              <w:t>2 pogonske stanice</w:t>
            </w:r>
          </w:p>
        </w:tc>
      </w:tr>
      <w:tr w:rsidR="00421C15" w14:paraId="0AC45E01" w14:textId="77777777" w:rsidTr="00454869">
        <w:trPr>
          <w:trHeight w:val="288"/>
        </w:trPr>
        <w:tc>
          <w:tcPr>
            <w:tcW w:w="1440" w:type="dxa"/>
            <w:vAlign w:val="center"/>
          </w:tcPr>
          <w:p w14:paraId="0DA0B7A1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III BTD</w:t>
            </w:r>
          </w:p>
        </w:tc>
        <w:tc>
          <w:tcPr>
            <w:tcW w:w="1728" w:type="dxa"/>
            <w:vAlign w:val="center"/>
          </w:tcPr>
          <w:p w14:paraId="69B148E5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SchRs 630 25/6</w:t>
            </w:r>
          </w:p>
        </w:tc>
        <w:tc>
          <w:tcPr>
            <w:tcW w:w="2394" w:type="dxa"/>
            <w:vAlign w:val="center"/>
          </w:tcPr>
          <w:p w14:paraId="514655E1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14:paraId="125966AB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pogonska stanica</w:t>
            </w:r>
          </w:p>
        </w:tc>
      </w:tr>
      <w:tr w:rsidR="00421C15" w14:paraId="28A82037" w14:textId="77777777" w:rsidTr="00454869">
        <w:trPr>
          <w:trHeight w:val="288"/>
        </w:trPr>
        <w:tc>
          <w:tcPr>
            <w:tcW w:w="1440" w:type="dxa"/>
            <w:vAlign w:val="center"/>
          </w:tcPr>
          <w:p w14:paraId="2A570277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IV BTD</w:t>
            </w:r>
          </w:p>
        </w:tc>
        <w:tc>
          <w:tcPr>
            <w:tcW w:w="1728" w:type="dxa"/>
            <w:vAlign w:val="center"/>
          </w:tcPr>
          <w:p w14:paraId="67064840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ERs 1000/20</w:t>
            </w:r>
          </w:p>
        </w:tc>
        <w:tc>
          <w:tcPr>
            <w:tcW w:w="2394" w:type="dxa"/>
            <w:vAlign w:val="center"/>
          </w:tcPr>
          <w:p w14:paraId="770EA1DA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BRs 1400/(37+50)×16</w:t>
            </w:r>
          </w:p>
        </w:tc>
        <w:tc>
          <w:tcPr>
            <w:tcW w:w="2016" w:type="dxa"/>
            <w:vAlign w:val="center"/>
          </w:tcPr>
          <w:p w14:paraId="076429E6" w14:textId="77777777" w:rsidR="00421C15" w:rsidRPr="00A6190F" w:rsidRDefault="00421C15" w:rsidP="00454869">
            <w:pPr>
              <w:spacing w:after="0"/>
              <w:jc w:val="center"/>
              <w:rPr>
                <w:sz w:val="22"/>
                <w:szCs w:val="24"/>
              </w:rPr>
            </w:pPr>
            <w:r w:rsidRPr="00EB0C34">
              <w:rPr>
                <w:sz w:val="22"/>
                <w:szCs w:val="24"/>
              </w:rPr>
              <w:t>2 pogonske stanice</w:t>
            </w:r>
          </w:p>
        </w:tc>
      </w:tr>
    </w:tbl>
    <w:p w14:paraId="27A214D4" w14:textId="5BE9BDE8" w:rsidR="00A6190F" w:rsidRPr="00421C15" w:rsidRDefault="00421C15" w:rsidP="00421C15">
      <w:pPr>
        <w:rPr>
          <w:lang w:val="sr-Latn-RS"/>
        </w:rPr>
      </w:pPr>
      <w:r w:rsidRPr="00421C15">
        <w:rPr>
          <w:lang w:val="sr-Latn-RS"/>
        </w:rPr>
        <w:lastRenderedPageBreak/>
        <w:t xml:space="preserve">U radu </w:t>
      </w:r>
      <w:r>
        <w:rPr>
          <w:lang w:val="sr-Latn-RS"/>
        </w:rPr>
        <w:t>je</w:t>
      </w:r>
      <w:r w:rsidRPr="00421C15">
        <w:rPr>
          <w:lang w:val="sr-Latn-RS"/>
        </w:rPr>
        <w:t xml:space="preserve"> prikazana analiza proizvodnih učinaka ugljenih sistema na površinskom kopu Tamnava–Zapadno polje, Kolubarskog ugljenog basena</w:t>
      </w:r>
      <w:r w:rsidR="00EB0C34" w:rsidRPr="00162812">
        <w:rPr>
          <w:lang w:val="sr-Latn-RS"/>
        </w:rPr>
        <w:t xml:space="preserve">. </w:t>
      </w:r>
      <w:r>
        <w:t xml:space="preserve">Za osnovne kriterijume za analizu, postavljeni su: </w:t>
      </w:r>
      <w:r w:rsidRPr="00162812">
        <w:rPr>
          <w:lang w:val="sr-Latn-RS"/>
        </w:rPr>
        <w:t>ostvarena proizvodnja</w:t>
      </w:r>
      <w:r>
        <w:rPr>
          <w:lang w:val="sr-Latn-RS"/>
        </w:rPr>
        <w:t xml:space="preserve"> uglja</w:t>
      </w:r>
      <w:r w:rsidRPr="00162812">
        <w:rPr>
          <w:lang w:val="sr-Latn-RS"/>
        </w:rPr>
        <w:t>,</w:t>
      </w:r>
      <w:r>
        <w:rPr>
          <w:lang w:val="sr-Latn-RS"/>
        </w:rPr>
        <w:t xml:space="preserve"> </w:t>
      </w:r>
      <w:r w:rsidRPr="00162812">
        <w:rPr>
          <w:lang w:val="sr-Latn-RS"/>
        </w:rPr>
        <w:t>kvalitet</w:t>
      </w:r>
      <w:r>
        <w:rPr>
          <w:lang w:val="sr-Latn-RS"/>
        </w:rPr>
        <w:t xml:space="preserve"> uglja</w:t>
      </w:r>
      <w:r w:rsidRPr="00162812">
        <w:rPr>
          <w:lang w:val="sr-Latn-RS"/>
        </w:rPr>
        <w:t>,</w:t>
      </w:r>
      <w:r>
        <w:rPr>
          <w:lang w:val="sr-Latn-RS"/>
        </w:rPr>
        <w:t xml:space="preserve"> </w:t>
      </w:r>
      <w:r w:rsidRPr="00162812">
        <w:rPr>
          <w:lang w:val="sr-Latn-RS"/>
        </w:rPr>
        <w:t>efektivno vreme rada</w:t>
      </w:r>
      <w:r>
        <w:rPr>
          <w:lang w:val="sr-Latn-RS"/>
        </w:rPr>
        <w:t xml:space="preserve"> sistema, </w:t>
      </w:r>
      <w:r w:rsidRPr="00162812">
        <w:rPr>
          <w:lang w:val="sr-Latn-RS"/>
        </w:rPr>
        <w:t xml:space="preserve">kapacitetno i vremensko </w:t>
      </w:r>
      <w:r>
        <w:rPr>
          <w:lang w:val="sr-Latn-RS"/>
        </w:rPr>
        <w:t xml:space="preserve">bagera </w:t>
      </w:r>
      <w:r w:rsidRPr="00162812">
        <w:rPr>
          <w:lang w:val="sr-Latn-RS"/>
        </w:rPr>
        <w:t xml:space="preserve">i ukupni </w:t>
      </w:r>
      <w:r>
        <w:rPr>
          <w:lang w:val="sr-Latn-RS"/>
        </w:rPr>
        <w:t xml:space="preserve">vremenski </w:t>
      </w:r>
      <w:r w:rsidRPr="00162812">
        <w:rPr>
          <w:lang w:val="sr-Latn-RS"/>
        </w:rPr>
        <w:t>zastoji koji prate rad sistema.</w:t>
      </w:r>
      <w:r>
        <w:rPr>
          <w:lang w:val="sr-Latn-RS"/>
        </w:rPr>
        <w:t xml:space="preserve"> </w:t>
      </w:r>
      <w:r w:rsidR="00832158" w:rsidRPr="00162812">
        <w:rPr>
          <w:szCs w:val="24"/>
          <w:lang w:val="sr-Latn-RS"/>
        </w:rPr>
        <w:t xml:space="preserve">Zbog složene strukture ležišta, u okviru ugljenog bloka česte su pojave proslojaka peska i pontske gline, što uslovljava selektivnu eksploataciju. Ovi proslojci se putem raspodelnih stanica odlažu na sistem međuslojne jalovine. </w:t>
      </w:r>
    </w:p>
    <w:p w14:paraId="44C73ADC" w14:textId="7A99DC88" w:rsidR="008666DA" w:rsidRPr="00162812" w:rsidRDefault="00421C15" w:rsidP="00EB0C34">
      <w:pPr>
        <w:spacing w:before="120"/>
        <w:rPr>
          <w:szCs w:val="24"/>
          <w:lang w:val="sr-Latn-RS"/>
        </w:rPr>
      </w:pPr>
      <w:r w:rsidRPr="00421C15">
        <w:rPr>
          <w:szCs w:val="24"/>
          <w:lang w:val="sr-Latn-RS"/>
        </w:rPr>
        <w:t xml:space="preserve">Kako bi se ispunili minimalni zahtevi termoelektrane, usled promena u pogledu kvalitetu uglja, neophodno je uskladiti kapacitete prilikom otkopavanja uglja. </w:t>
      </w:r>
      <w:r w:rsidR="00DA56B0" w:rsidRPr="008F06E4">
        <w:rPr>
          <w:szCs w:val="24"/>
          <w:lang w:val="sr-Latn-RS"/>
        </w:rPr>
        <w:t>Toplotna moć tamnavskog uglja kreće se u opsegu od 6.000 do 8.000 kJ/kg</w:t>
      </w:r>
      <w:r w:rsidR="00162812" w:rsidRPr="008F06E4">
        <w:rPr>
          <w:szCs w:val="24"/>
          <w:lang w:val="sr-Latn-RS"/>
        </w:rPr>
        <w:t>. Termoelektrane koje sagorevaju lignit</w:t>
      </w:r>
      <w:r w:rsidR="008F06E4" w:rsidRPr="008F06E4">
        <w:rPr>
          <w:szCs w:val="24"/>
          <w:lang w:val="sr-Latn-RS"/>
        </w:rPr>
        <w:t xml:space="preserve"> </w:t>
      </w:r>
      <w:r w:rsidR="00162812" w:rsidRPr="008F06E4">
        <w:rPr>
          <w:szCs w:val="24"/>
          <w:lang w:val="sr-Latn-RS"/>
        </w:rPr>
        <w:t>iz Tamnave su</w:t>
      </w:r>
      <w:r w:rsidR="00DA56B0" w:rsidRPr="008F06E4">
        <w:rPr>
          <w:szCs w:val="24"/>
          <w:lang w:val="sr-Latn-RS"/>
        </w:rPr>
        <w:t xml:space="preserve"> projektovane da prihvate minimalnu toplotnu vrednost od </w:t>
      </w:r>
      <w:r w:rsidR="00DA56B0" w:rsidRPr="00162812">
        <w:rPr>
          <w:szCs w:val="24"/>
          <w:lang w:val="sr-Latn-RS"/>
        </w:rPr>
        <w:t xml:space="preserve">6.500 kJ/kg. </w:t>
      </w:r>
      <w:r w:rsidR="00537D69">
        <w:rPr>
          <w:szCs w:val="24"/>
          <w:lang w:val="sr-Latn-RS"/>
        </w:rPr>
        <w:t>Na osnovu svega navedenog potrebno je izvršiti homogenizaciju otkopanog uglja.</w:t>
      </w:r>
    </w:p>
    <w:p w14:paraId="49A98217" w14:textId="77777777" w:rsidR="00F83067" w:rsidRPr="006E6BF5" w:rsidRDefault="00E02030" w:rsidP="006E6BF5">
      <w:pPr>
        <w:pStyle w:val="ListParagraph"/>
        <w:numPr>
          <w:ilvl w:val="0"/>
          <w:numId w:val="2"/>
        </w:numPr>
        <w:rPr>
          <w:b/>
          <w:lang w:val="sr-Latn-RS"/>
        </w:rPr>
      </w:pPr>
      <w:r w:rsidRPr="006E6BF5">
        <w:rPr>
          <w:b/>
          <w:lang w:val="sr-Latn-RS"/>
        </w:rPr>
        <w:t>Definisanje ulaznih podataka</w:t>
      </w:r>
    </w:p>
    <w:p w14:paraId="06F076FD" w14:textId="7C8D5563" w:rsidR="00E02030" w:rsidRDefault="00E02030" w:rsidP="00E02030">
      <w:pPr>
        <w:rPr>
          <w:lang w:val="sr-Latn-RS"/>
        </w:rPr>
      </w:pPr>
      <w:r w:rsidRPr="00E02030">
        <w:rPr>
          <w:lang w:val="sr-Latn-RS"/>
        </w:rPr>
        <w:t xml:space="preserve">Ulazni </w:t>
      </w:r>
      <w:r w:rsidR="001C77F4">
        <w:rPr>
          <w:lang w:val="sr-Latn-RS"/>
        </w:rPr>
        <w:t xml:space="preserve">podaci </w:t>
      </w:r>
      <w:r>
        <w:rPr>
          <w:lang w:val="sr-Latn-RS"/>
        </w:rPr>
        <w:t>za analizu</w:t>
      </w:r>
      <w:r w:rsidRPr="00E02030">
        <w:rPr>
          <w:lang w:val="sr-Latn-RS"/>
        </w:rPr>
        <w:t xml:space="preserve"> odnose se, pre svega, na ostvarenu proizvodnju, </w:t>
      </w:r>
      <w:r>
        <w:rPr>
          <w:lang w:val="sr-Latn-RS"/>
        </w:rPr>
        <w:t>sa posebnim osvrt</w:t>
      </w:r>
      <w:r w:rsidR="00D90F72">
        <w:rPr>
          <w:lang w:val="sr-Latn-RS"/>
        </w:rPr>
        <w:t xml:space="preserve">om na kvalitet otkopanog uglja, </w:t>
      </w:r>
      <w:r w:rsidRPr="00E02030">
        <w:rPr>
          <w:lang w:val="sr-Latn-RS"/>
        </w:rPr>
        <w:t>vremensko i kap</w:t>
      </w:r>
      <w:r w:rsidR="00D90F72">
        <w:rPr>
          <w:lang w:val="sr-Latn-RS"/>
        </w:rPr>
        <w:t xml:space="preserve">acitetno iskorišćenje i </w:t>
      </w:r>
      <w:r>
        <w:rPr>
          <w:lang w:val="sr-Latn-RS"/>
        </w:rPr>
        <w:t>zastoje sistema. P</w:t>
      </w:r>
      <w:r w:rsidRPr="00E02030">
        <w:rPr>
          <w:lang w:val="sr-Latn-RS"/>
        </w:rPr>
        <w:t xml:space="preserve">odaci </w:t>
      </w:r>
      <w:r>
        <w:rPr>
          <w:lang w:val="sr-Latn-RS"/>
        </w:rPr>
        <w:t xml:space="preserve">su </w:t>
      </w:r>
      <w:r w:rsidR="000A7EF5">
        <w:rPr>
          <w:lang w:val="sr-Latn-RS"/>
        </w:rPr>
        <w:t xml:space="preserve">preuzeti iz izveštaja o ostvarenom planu proizvodnje u RB „Kolubara“ za period </w:t>
      </w:r>
      <w:r w:rsidR="00411769">
        <w:rPr>
          <w:lang w:val="sr-Latn-RS"/>
        </w:rPr>
        <w:t>I</w:t>
      </w:r>
      <w:r w:rsidR="006E6BF5">
        <w:rPr>
          <w:lang w:val="sr-Latn-RS"/>
        </w:rPr>
        <w:t>–VI 2021. godine</w:t>
      </w:r>
      <w:r w:rsidR="00FA1565">
        <w:rPr>
          <w:lang w:val="sr-Latn-RS"/>
        </w:rPr>
        <w:t xml:space="preserve"> </w:t>
      </w:r>
      <w:r w:rsidR="00FA1565">
        <w:rPr>
          <w:rFonts w:cs="Times New Roman"/>
          <w:lang w:val="sr-Latn-RS"/>
        </w:rPr>
        <w:t>[</w:t>
      </w:r>
      <w:r w:rsidR="004E043C">
        <w:rPr>
          <w:rFonts w:cs="Times New Roman"/>
          <w:lang w:val="sr-Latn-RS"/>
        </w:rPr>
        <w:t>2</w:t>
      </w:r>
      <w:r w:rsidR="00FA1565">
        <w:rPr>
          <w:rFonts w:cs="Times New Roman"/>
          <w:lang w:val="sr-Latn-RS"/>
        </w:rPr>
        <w:t>]</w:t>
      </w:r>
      <w:r w:rsidR="006E6BF5">
        <w:rPr>
          <w:lang w:val="sr-Latn-RS"/>
        </w:rPr>
        <w:t>. Proizvodnja uglja definisana je godišnjim operativnim planom. U tabeli 2.1 dat je prikaz ostvarene proizvodnje za prvih šest meseci na površinskom kopu Tamnava–Zapadno polje.</w:t>
      </w:r>
    </w:p>
    <w:p w14:paraId="52117817" w14:textId="77777777" w:rsidR="00D31096" w:rsidRPr="00D31096" w:rsidRDefault="00D31096" w:rsidP="00D31096">
      <w:pPr>
        <w:spacing w:after="20"/>
        <w:rPr>
          <w:i/>
          <w:szCs w:val="24"/>
        </w:rPr>
      </w:pPr>
      <w:r>
        <w:rPr>
          <w:i/>
          <w:szCs w:val="24"/>
        </w:rPr>
        <w:t>Tabela 2</w:t>
      </w:r>
      <w:r w:rsidRPr="00A6190F">
        <w:rPr>
          <w:i/>
          <w:szCs w:val="24"/>
        </w:rPr>
        <w:t xml:space="preserve">.1 </w:t>
      </w:r>
      <w:r>
        <w:rPr>
          <w:i/>
          <w:szCs w:val="24"/>
        </w:rPr>
        <w:t>Planirana i ostvarena proizvodnja uglja po sistemima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649"/>
        <w:gridCol w:w="2551"/>
        <w:gridCol w:w="2551"/>
        <w:gridCol w:w="2268"/>
      </w:tblGrid>
      <w:tr w:rsidR="006E6BF5" w:rsidRPr="006E6BF5" w14:paraId="4050DC12" w14:textId="77777777" w:rsidTr="00537D69">
        <w:trPr>
          <w:trHeight w:val="397"/>
        </w:trPr>
        <w:tc>
          <w:tcPr>
            <w:tcW w:w="1649" w:type="dxa"/>
            <w:shd w:val="clear" w:color="auto" w:fill="E5DFEC" w:themeFill="accent4" w:themeFillTint="33"/>
            <w:vAlign w:val="center"/>
          </w:tcPr>
          <w:p w14:paraId="0338DC55" w14:textId="77777777" w:rsidR="006E6BF5" w:rsidRPr="00537D69" w:rsidRDefault="006E6BF5" w:rsidP="006E6BF5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  <w:r w:rsidRPr="00537D69">
              <w:rPr>
                <w:b/>
                <w:bCs/>
                <w:i/>
                <w:iCs/>
                <w:sz w:val="22"/>
              </w:rPr>
              <w:t>Sistem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3769516A" w14:textId="77777777" w:rsidR="006E6BF5" w:rsidRPr="00537D69" w:rsidRDefault="006E6BF5" w:rsidP="006E6BF5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537D69">
              <w:rPr>
                <w:b/>
                <w:bCs/>
                <w:i/>
                <w:iCs/>
                <w:sz w:val="22"/>
                <w:lang w:val="sr-Latn-RS"/>
              </w:rPr>
              <w:t>Planirana proizvodnja (t)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5E65339D" w14:textId="77777777" w:rsidR="006E6BF5" w:rsidRPr="00537D69" w:rsidRDefault="006E6BF5" w:rsidP="006E6BF5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537D69">
              <w:rPr>
                <w:b/>
                <w:bCs/>
                <w:i/>
                <w:iCs/>
                <w:sz w:val="22"/>
                <w:lang w:val="sr-Latn-RS"/>
              </w:rPr>
              <w:t>Ostvarena proizvodnja (t)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B79F249" w14:textId="77777777" w:rsidR="006E6BF5" w:rsidRPr="00537D69" w:rsidRDefault="006E6BF5" w:rsidP="006E6BF5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537D69">
              <w:rPr>
                <w:b/>
                <w:bCs/>
                <w:i/>
                <w:iCs/>
                <w:sz w:val="22"/>
                <w:lang w:val="sr-Latn-RS"/>
              </w:rPr>
              <w:t>Ostvarenje (%)</w:t>
            </w:r>
          </w:p>
        </w:tc>
      </w:tr>
      <w:tr w:rsidR="006E6BF5" w:rsidRPr="006E6BF5" w14:paraId="0965D9F6" w14:textId="77777777" w:rsidTr="00537D69">
        <w:tc>
          <w:tcPr>
            <w:tcW w:w="1649" w:type="dxa"/>
            <w:vAlign w:val="center"/>
          </w:tcPr>
          <w:p w14:paraId="79177A9F" w14:textId="77777777" w:rsidR="006E6BF5" w:rsidRPr="006E6BF5" w:rsidRDefault="006E6BF5" w:rsidP="006E6BF5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 BTD</w:t>
            </w:r>
          </w:p>
        </w:tc>
        <w:tc>
          <w:tcPr>
            <w:tcW w:w="2551" w:type="dxa"/>
            <w:vAlign w:val="center"/>
          </w:tcPr>
          <w:p w14:paraId="14C82F09" w14:textId="77777777" w:rsidR="006E6BF5" w:rsidRPr="006E6BF5" w:rsidRDefault="006E6BF5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2.660.000</w:t>
            </w:r>
          </w:p>
        </w:tc>
        <w:tc>
          <w:tcPr>
            <w:tcW w:w="2551" w:type="dxa"/>
            <w:vAlign w:val="center"/>
          </w:tcPr>
          <w:p w14:paraId="5EC116C1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2.552.882</w:t>
            </w:r>
          </w:p>
        </w:tc>
        <w:tc>
          <w:tcPr>
            <w:tcW w:w="2268" w:type="dxa"/>
            <w:shd w:val="clear" w:color="auto" w:fill="FF3300"/>
            <w:vAlign w:val="center"/>
          </w:tcPr>
          <w:p w14:paraId="3092C394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95,97</w:t>
            </w:r>
          </w:p>
        </w:tc>
      </w:tr>
      <w:tr w:rsidR="006E6BF5" w:rsidRPr="006E6BF5" w14:paraId="7FBAAA4C" w14:textId="77777777" w:rsidTr="00537D69">
        <w:tc>
          <w:tcPr>
            <w:tcW w:w="1649" w:type="dxa"/>
            <w:vAlign w:val="center"/>
          </w:tcPr>
          <w:p w14:paraId="23677A00" w14:textId="77777777" w:rsidR="006E6BF5" w:rsidRPr="006E6BF5" w:rsidRDefault="006E6BF5" w:rsidP="006E6BF5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II BTD</w:t>
            </w:r>
          </w:p>
        </w:tc>
        <w:tc>
          <w:tcPr>
            <w:tcW w:w="2551" w:type="dxa"/>
            <w:vAlign w:val="center"/>
          </w:tcPr>
          <w:p w14:paraId="53C01E5A" w14:textId="77777777" w:rsidR="006E6BF5" w:rsidRPr="006E6BF5" w:rsidRDefault="006E6BF5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1.170.000</w:t>
            </w:r>
          </w:p>
        </w:tc>
        <w:tc>
          <w:tcPr>
            <w:tcW w:w="2551" w:type="dxa"/>
            <w:vAlign w:val="center"/>
          </w:tcPr>
          <w:p w14:paraId="0C59400F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1.299.137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56FB3F5D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111,04</w:t>
            </w:r>
          </w:p>
        </w:tc>
      </w:tr>
      <w:tr w:rsidR="006E6BF5" w:rsidRPr="006E6BF5" w14:paraId="679D9239" w14:textId="77777777" w:rsidTr="00537D69">
        <w:tc>
          <w:tcPr>
            <w:tcW w:w="1649" w:type="dxa"/>
            <w:vAlign w:val="center"/>
          </w:tcPr>
          <w:p w14:paraId="37242BCF" w14:textId="77777777" w:rsidR="006E6BF5" w:rsidRPr="006E6BF5" w:rsidRDefault="006E6BF5" w:rsidP="006E6BF5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III BTD</w:t>
            </w:r>
          </w:p>
        </w:tc>
        <w:tc>
          <w:tcPr>
            <w:tcW w:w="2551" w:type="dxa"/>
            <w:vAlign w:val="center"/>
          </w:tcPr>
          <w:p w14:paraId="01B163F8" w14:textId="77777777" w:rsidR="006E6BF5" w:rsidRPr="006E6BF5" w:rsidRDefault="006E6BF5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560.000</w:t>
            </w:r>
          </w:p>
        </w:tc>
        <w:tc>
          <w:tcPr>
            <w:tcW w:w="2551" w:type="dxa"/>
            <w:vAlign w:val="center"/>
          </w:tcPr>
          <w:p w14:paraId="0D54C450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746.298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07FBF2C8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133,27</w:t>
            </w:r>
          </w:p>
        </w:tc>
      </w:tr>
      <w:tr w:rsidR="006E6BF5" w:rsidRPr="006E6BF5" w14:paraId="24341503" w14:textId="77777777" w:rsidTr="00537D69">
        <w:tc>
          <w:tcPr>
            <w:tcW w:w="1649" w:type="dxa"/>
            <w:vAlign w:val="center"/>
          </w:tcPr>
          <w:p w14:paraId="22FF92C4" w14:textId="77777777" w:rsidR="006E6BF5" w:rsidRPr="006E6BF5" w:rsidRDefault="006E6BF5" w:rsidP="006E6BF5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IV BTD</w:t>
            </w:r>
          </w:p>
        </w:tc>
        <w:tc>
          <w:tcPr>
            <w:tcW w:w="2551" w:type="dxa"/>
            <w:vAlign w:val="center"/>
          </w:tcPr>
          <w:p w14:paraId="41AE3807" w14:textId="77777777" w:rsidR="006E6BF5" w:rsidRPr="006E6BF5" w:rsidRDefault="006E6BF5" w:rsidP="00D3109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1.2</w:t>
            </w:r>
            <w:r w:rsidR="00D31096">
              <w:rPr>
                <w:sz w:val="22"/>
                <w:lang w:val="sr-Latn-RS"/>
              </w:rPr>
              <w:t>42</w:t>
            </w:r>
            <w:r>
              <w:rPr>
                <w:sz w:val="22"/>
                <w:lang w:val="sr-Latn-RS"/>
              </w:rPr>
              <w:t>.000</w:t>
            </w:r>
          </w:p>
        </w:tc>
        <w:tc>
          <w:tcPr>
            <w:tcW w:w="2551" w:type="dxa"/>
            <w:vAlign w:val="center"/>
          </w:tcPr>
          <w:p w14:paraId="53A841AE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1.143.076</w:t>
            </w:r>
          </w:p>
        </w:tc>
        <w:tc>
          <w:tcPr>
            <w:tcW w:w="2268" w:type="dxa"/>
            <w:shd w:val="clear" w:color="auto" w:fill="FF3300"/>
            <w:vAlign w:val="center"/>
          </w:tcPr>
          <w:p w14:paraId="78EC8194" w14:textId="77777777" w:rsidR="006E6BF5" w:rsidRPr="006E6BF5" w:rsidRDefault="00D31096" w:rsidP="006E6BF5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92,04</w:t>
            </w:r>
          </w:p>
        </w:tc>
      </w:tr>
    </w:tbl>
    <w:p w14:paraId="7D16CC82" w14:textId="2C75397E" w:rsidR="00D90F72" w:rsidRDefault="00421C15" w:rsidP="003D0DE6">
      <w:pPr>
        <w:spacing w:before="120"/>
        <w:rPr>
          <w:lang w:val="sr-Latn-RS"/>
        </w:rPr>
      </w:pPr>
      <w:r w:rsidRPr="00421C15">
        <w:rPr>
          <w:lang w:val="sr-Latn-RS"/>
        </w:rPr>
        <w:t>Kao posledica nehomogenosti materijala, pored otkopanih količina uglja, otkopane su i određene količine međuslojne jalovine</w:t>
      </w:r>
      <w:r w:rsidR="00053703">
        <w:rPr>
          <w:lang w:val="sr-Latn-RS"/>
        </w:rPr>
        <w:t xml:space="preserve">. </w:t>
      </w:r>
      <w:r w:rsidR="003D0DE6">
        <w:rPr>
          <w:lang w:val="sr-Latn-RS"/>
        </w:rPr>
        <w:t>Na slici 2.1 predstavljen je odnos količine uglja prema otkopanoj količini proslojaka peska i gline.</w:t>
      </w:r>
    </w:p>
    <w:p w14:paraId="6EB08ECF" w14:textId="77777777" w:rsidR="003D0DE6" w:rsidRDefault="00D90F72" w:rsidP="00D90F72">
      <w:pPr>
        <w:spacing w:before="120" w:after="20"/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47CA6F5C" wp14:editId="234AFB79">
            <wp:extent cx="3699163" cy="2279696"/>
            <wp:effectExtent l="19050" t="19050" r="15875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11" cy="2278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639782" w14:textId="77777777" w:rsidR="00D90F72" w:rsidRDefault="00D90F72" w:rsidP="00D90F72">
      <w:pPr>
        <w:spacing w:before="20"/>
        <w:jc w:val="center"/>
        <w:rPr>
          <w:i/>
          <w:lang w:val="sr-Latn-RS"/>
        </w:rPr>
      </w:pPr>
      <w:r w:rsidRPr="00D90F72">
        <w:rPr>
          <w:i/>
          <w:lang w:val="sr-Latn-RS"/>
        </w:rPr>
        <w:t>Slika 2.1 Odnos ostvarene proizvodnje uglja i međuslojne jalovine</w:t>
      </w:r>
    </w:p>
    <w:p w14:paraId="7252F94C" w14:textId="60ED2C9B" w:rsidR="00D90F72" w:rsidRPr="00D90F72" w:rsidRDefault="00421C15" w:rsidP="0083548A">
      <w:pPr>
        <w:rPr>
          <w:lang w:val="sr-Latn-RS"/>
        </w:rPr>
      </w:pPr>
      <w:r w:rsidRPr="00421C15">
        <w:rPr>
          <w:lang w:val="sr-Latn-RS"/>
        </w:rPr>
        <w:lastRenderedPageBreak/>
        <w:t>Na osnovu datog prikaza može se uočiti da je I</w:t>
      </w:r>
      <w:r>
        <w:rPr>
          <w:lang w:val="sr-Latn-RS"/>
        </w:rPr>
        <w:t>I</w:t>
      </w:r>
      <w:r w:rsidRPr="00421C15">
        <w:rPr>
          <w:lang w:val="sr-Latn-RS"/>
        </w:rPr>
        <w:t>I BTD sistem otkopao veću količinu međuslojne jalovine nego uglja</w:t>
      </w:r>
      <w:r w:rsidR="00D90F72">
        <w:rPr>
          <w:lang w:val="sr-Latn-RS"/>
        </w:rPr>
        <w:t>. Rad ovog sistema podrazumevao je otkopavanje većih količina jalovine sa ciljem otvaranja donjih slojeva uglja za IV BTD liniju. Najveća raslojenost u ležištu javlja se na obodu kopa koji predstavlja zapadnu granicu eksploatacionog polja.</w:t>
      </w:r>
    </w:p>
    <w:p w14:paraId="7432DBF5" w14:textId="4BACFD70" w:rsidR="00D90F72" w:rsidRDefault="00F07B46" w:rsidP="00762A89">
      <w:pPr>
        <w:rPr>
          <w:sz w:val="22"/>
        </w:rPr>
      </w:pPr>
      <w:r w:rsidRPr="0083548A">
        <w:rPr>
          <w:lang w:val="sr-Latn-RS"/>
        </w:rPr>
        <w:t>Sa aspekta kvaliteta</w:t>
      </w:r>
      <w:r w:rsidR="00762A89" w:rsidRPr="0083548A">
        <w:rPr>
          <w:lang w:val="sr-Latn-RS"/>
        </w:rPr>
        <w:t xml:space="preserve"> otkopanog uglja, podaci su preuzeti </w:t>
      </w:r>
      <w:r w:rsidRPr="0083548A">
        <w:rPr>
          <w:lang w:val="sr-Latn-RS"/>
        </w:rPr>
        <w:t>iz</w:t>
      </w:r>
      <w:r w:rsidR="00762A89" w:rsidRPr="0083548A">
        <w:rPr>
          <w:lang w:val="sr-Latn-RS"/>
        </w:rPr>
        <w:t xml:space="preserve"> mesečnih </w:t>
      </w:r>
      <w:r w:rsidR="00762A89">
        <w:rPr>
          <w:lang w:val="sr-Latn-RS"/>
        </w:rPr>
        <w:t xml:space="preserve">operativnih planova proizvodnje u kojima je izvedena prosečna toplotna vrednost ugljene serije. </w:t>
      </w:r>
      <w:r w:rsidR="00762A89" w:rsidRPr="00D34C0F">
        <w:rPr>
          <w:szCs w:val="24"/>
          <w:lang w:val="sr-Latn-RS"/>
        </w:rPr>
        <w:t xml:space="preserve">Na slici 2.2 </w:t>
      </w:r>
      <w:r w:rsidR="00D34C0F" w:rsidRPr="00D34C0F">
        <w:rPr>
          <w:szCs w:val="24"/>
          <w:lang w:val="sr-Latn-RS"/>
        </w:rPr>
        <w:t>prikazana je prosečna DTE vrednost uglja za period od januara do juna.</w:t>
      </w:r>
      <w:r w:rsidR="00D34C0F">
        <w:rPr>
          <w:szCs w:val="24"/>
          <w:lang w:val="sr-Latn-RS"/>
        </w:rPr>
        <w:t xml:space="preserve"> Vrednosti su formirane na osnovu geoloških istražnih radova. </w:t>
      </w:r>
    </w:p>
    <w:p w14:paraId="5E2D2FE0" w14:textId="77777777" w:rsidR="00180613" w:rsidRDefault="00180613" w:rsidP="00727198">
      <w:pPr>
        <w:spacing w:after="20"/>
        <w:jc w:val="center"/>
        <w:rPr>
          <w:u w:val="single"/>
        </w:rPr>
      </w:pPr>
      <w:r w:rsidRPr="00180613">
        <w:rPr>
          <w:noProof/>
        </w:rPr>
        <w:drawing>
          <wp:inline distT="0" distB="0" distL="0" distR="0" wp14:anchorId="0930CD28" wp14:editId="303B26AA">
            <wp:extent cx="3575539" cy="2149285"/>
            <wp:effectExtent l="0" t="0" r="635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01" cy="2149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2978B" w14:textId="77777777" w:rsidR="00180613" w:rsidRPr="00F07B46" w:rsidRDefault="00180613" w:rsidP="00180613">
      <w:pPr>
        <w:jc w:val="center"/>
        <w:rPr>
          <w:i/>
          <w:lang w:val="sr-Latn-RS"/>
        </w:rPr>
      </w:pPr>
      <w:r w:rsidRPr="00F07B46">
        <w:rPr>
          <w:i/>
          <w:lang w:val="sr-Latn-RS"/>
        </w:rPr>
        <w:t>Slika 2.2 Prosečna DTE vrednost uglja po sistemima</w:t>
      </w:r>
    </w:p>
    <w:p w14:paraId="40CC69F1" w14:textId="5E745D90" w:rsidR="00762A89" w:rsidRPr="00F07B46" w:rsidRDefault="00325442" w:rsidP="00762A89">
      <w:pPr>
        <w:rPr>
          <w:lang w:val="sr-Latn-RS"/>
        </w:rPr>
      </w:pPr>
      <w:r w:rsidRPr="00F07B46">
        <w:rPr>
          <w:lang w:val="sr-Latn-RS"/>
        </w:rPr>
        <w:t>Efektivno vreme rada</w:t>
      </w:r>
      <w:r w:rsidR="00421C15">
        <w:rPr>
          <w:lang w:val="sr-Latn-RS"/>
        </w:rPr>
        <w:t xml:space="preserve"> sistema</w:t>
      </w:r>
      <w:r w:rsidRPr="00F07B46">
        <w:rPr>
          <w:lang w:val="sr-Latn-RS"/>
        </w:rPr>
        <w:t xml:space="preserve"> podrazumeva ukupno vreme rada za posmatrani period. Proračun efektivnog </w:t>
      </w:r>
      <w:r w:rsidR="000074F5">
        <w:rPr>
          <w:lang w:val="sr-Latn-RS"/>
        </w:rPr>
        <w:t xml:space="preserve">vremena sistema </w:t>
      </w:r>
      <w:r w:rsidRPr="00F07B46">
        <w:rPr>
          <w:lang w:val="sr-Latn-RS"/>
        </w:rPr>
        <w:t xml:space="preserve">dobija se oduzimanjem ukupnih zastoja od kalendarskog fonda. </w:t>
      </w:r>
      <w:r w:rsidR="00D53628" w:rsidRPr="00F07B46">
        <w:rPr>
          <w:lang w:val="sr-Latn-RS"/>
        </w:rPr>
        <w:t>Na sledećoj slici dat je odnos efektivnog vremena rada i ukupnih zastoja za pojedinačne sisteme.</w:t>
      </w:r>
    </w:p>
    <w:p w14:paraId="7D091019" w14:textId="77777777" w:rsidR="00D53628" w:rsidRDefault="00180613" w:rsidP="00180613">
      <w:pPr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684704E6" wp14:editId="42038337">
            <wp:extent cx="2238081" cy="1615044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01" cy="1626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4A76E1" wp14:editId="79DE6B6C">
            <wp:extent cx="2239200" cy="1616400"/>
            <wp:effectExtent l="0" t="0" r="8890" b="3175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16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B8F35" w14:textId="77777777" w:rsidR="00D53628" w:rsidRDefault="00180613" w:rsidP="00180613">
      <w:pPr>
        <w:spacing w:after="20"/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4DE91548" wp14:editId="54FC2C97">
            <wp:extent cx="2239200" cy="1616400"/>
            <wp:effectExtent l="0" t="0" r="8890" b="3175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16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32507" wp14:editId="69478CB9">
            <wp:extent cx="2239200" cy="1616400"/>
            <wp:effectExtent l="0" t="0" r="8890" b="3175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16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78FBF" w14:textId="7231C41E" w:rsidR="0083548A" w:rsidRPr="003445C6" w:rsidRDefault="00D53628" w:rsidP="003445C6">
      <w:pPr>
        <w:jc w:val="center"/>
        <w:rPr>
          <w:i/>
          <w:szCs w:val="24"/>
          <w:lang w:val="sr-Latn-RS"/>
        </w:rPr>
      </w:pPr>
      <w:r w:rsidRPr="00D53628">
        <w:rPr>
          <w:i/>
          <w:szCs w:val="24"/>
          <w:lang w:val="sr-Latn-RS"/>
        </w:rPr>
        <w:t>Slika 2.3 Odnos efektivnog vremena rada i ukupnih zastoja sistema</w:t>
      </w:r>
    </w:p>
    <w:p w14:paraId="5F17480A" w14:textId="01B5B96F" w:rsidR="00200A37" w:rsidRPr="00D974E4" w:rsidRDefault="00762A89" w:rsidP="00180613">
      <w:pPr>
        <w:rPr>
          <w:i/>
          <w:szCs w:val="24"/>
          <w:lang w:val="sr-Latn-RS"/>
        </w:rPr>
      </w:pPr>
      <w:r w:rsidRPr="00D974E4">
        <w:rPr>
          <w:szCs w:val="24"/>
          <w:lang w:val="sr-Latn-RS"/>
        </w:rPr>
        <w:lastRenderedPageBreak/>
        <w:t>Efikasnost rada sistema ocenjuje se u odnosu na količine sirovine koja je otkopana u jednom vremenskom periodu. Međutim, za detaljno analiziranje i dobijanje konačne ocene efikasnosti u odnos se moraju staviti i drugi bitni parametri, kao što su vremenski zastoji i koeficijenti vremenskog i kapacitetnog iskorišćenja</w:t>
      </w:r>
      <w:r w:rsidR="008F06E4">
        <w:rPr>
          <w:szCs w:val="24"/>
          <w:lang w:val="sr-Latn-RS"/>
        </w:rPr>
        <w:t>. V</w:t>
      </w:r>
      <w:r w:rsidRPr="00D974E4">
        <w:rPr>
          <w:szCs w:val="24"/>
          <w:lang w:val="sr-Latn-RS"/>
        </w:rPr>
        <w:t>remensko iskorišćenje p</w:t>
      </w:r>
      <w:r w:rsidR="00D34C0F" w:rsidRPr="00D974E4">
        <w:rPr>
          <w:szCs w:val="24"/>
          <w:lang w:val="sr-Latn-RS"/>
        </w:rPr>
        <w:t>redstavlja</w:t>
      </w:r>
      <w:r w:rsidRPr="00D974E4">
        <w:rPr>
          <w:szCs w:val="24"/>
          <w:lang w:val="sr-Latn-RS"/>
        </w:rPr>
        <w:t xml:space="preserve"> odnos efektivnog vremena rada sistema i kalendarskog fonda vremena. </w:t>
      </w:r>
      <w:r w:rsidR="008F06E4">
        <w:rPr>
          <w:szCs w:val="24"/>
          <w:lang w:val="sr-Latn-RS"/>
        </w:rPr>
        <w:t>K</w:t>
      </w:r>
      <w:r w:rsidRPr="00D974E4">
        <w:rPr>
          <w:szCs w:val="24"/>
          <w:lang w:val="sr-Latn-RS"/>
        </w:rPr>
        <w:t xml:space="preserve">apacitetno iskorišćenje </w:t>
      </w:r>
      <w:r w:rsidR="00D34C0F" w:rsidRPr="00D974E4">
        <w:rPr>
          <w:szCs w:val="24"/>
          <w:lang w:val="sr-Latn-RS"/>
        </w:rPr>
        <w:t>je</w:t>
      </w:r>
      <w:r w:rsidRPr="00D974E4">
        <w:rPr>
          <w:szCs w:val="24"/>
          <w:lang w:val="sr-Latn-RS"/>
        </w:rPr>
        <w:t xml:space="preserve"> odnos</w:t>
      </w:r>
      <w:r w:rsidR="009E531F" w:rsidRPr="00D974E4">
        <w:rPr>
          <w:szCs w:val="24"/>
          <w:lang w:val="sr-Latn-RS"/>
        </w:rPr>
        <w:t xml:space="preserve"> ostvarene proizvodnje prema teorijskom kapacitetu za analizirani vremenski period. </w:t>
      </w:r>
      <w:r w:rsidR="0070526D" w:rsidRPr="00D974E4">
        <w:rPr>
          <w:szCs w:val="24"/>
          <w:lang w:val="sr-Latn-RS"/>
        </w:rPr>
        <w:t>U tabeli 2.2 pr</w:t>
      </w:r>
      <w:r w:rsidR="0070526D" w:rsidRPr="00EF21AC">
        <w:rPr>
          <w:szCs w:val="24"/>
          <w:lang w:val="sr-Latn-RS"/>
        </w:rPr>
        <w:t>ikaz</w:t>
      </w:r>
      <w:r w:rsidR="00D974E4" w:rsidRPr="00EF21AC">
        <w:rPr>
          <w:szCs w:val="24"/>
          <w:lang w:val="sr-Latn-RS"/>
        </w:rPr>
        <w:t>a</w:t>
      </w:r>
      <w:r w:rsidR="0070526D" w:rsidRPr="00EF21AC">
        <w:rPr>
          <w:szCs w:val="24"/>
          <w:lang w:val="sr-Latn-RS"/>
        </w:rPr>
        <w:t>ne</w:t>
      </w:r>
      <w:r w:rsidR="0070526D" w:rsidRPr="00D974E4">
        <w:rPr>
          <w:szCs w:val="24"/>
          <w:lang w:val="sr-Latn-RS"/>
        </w:rPr>
        <w:t xml:space="preserve"> su izračunate vrednosti </w:t>
      </w:r>
      <w:r w:rsidR="0070526D" w:rsidRPr="00D974E4">
        <w:rPr>
          <w:i/>
          <w:szCs w:val="24"/>
          <w:lang w:val="sr-Latn-RS"/>
        </w:rPr>
        <w:t>k</w:t>
      </w:r>
      <w:r w:rsidR="0070526D" w:rsidRPr="00D974E4">
        <w:rPr>
          <w:i/>
          <w:szCs w:val="24"/>
          <w:vertAlign w:val="subscript"/>
          <w:lang w:val="sr-Latn-RS"/>
        </w:rPr>
        <w:t>t</w:t>
      </w:r>
      <w:r w:rsidR="0070526D" w:rsidRPr="00D974E4">
        <w:rPr>
          <w:szCs w:val="24"/>
          <w:vertAlign w:val="subscript"/>
          <w:lang w:val="sr-Latn-RS"/>
        </w:rPr>
        <w:t xml:space="preserve"> </w:t>
      </w:r>
      <w:r w:rsidR="0070526D" w:rsidRPr="00D974E4">
        <w:rPr>
          <w:szCs w:val="24"/>
          <w:lang w:val="sr-Latn-RS"/>
        </w:rPr>
        <w:t xml:space="preserve">i </w:t>
      </w:r>
      <w:r w:rsidR="0070526D" w:rsidRPr="00D974E4">
        <w:rPr>
          <w:i/>
          <w:szCs w:val="24"/>
          <w:lang w:val="sr-Latn-RS"/>
        </w:rPr>
        <w:t>k</w:t>
      </w:r>
      <w:r w:rsidR="0070526D" w:rsidRPr="00D974E4">
        <w:rPr>
          <w:i/>
          <w:szCs w:val="24"/>
          <w:vertAlign w:val="subscript"/>
          <w:lang w:val="sr-Latn-RS"/>
        </w:rPr>
        <w:t>q</w:t>
      </w:r>
      <w:r w:rsidR="0070526D" w:rsidRPr="00D974E4">
        <w:rPr>
          <w:i/>
          <w:szCs w:val="24"/>
          <w:lang w:val="sr-Latn-RS"/>
        </w:rPr>
        <w:t>.</w:t>
      </w:r>
    </w:p>
    <w:p w14:paraId="1B33939B" w14:textId="65AD092B" w:rsidR="00A8264D" w:rsidRPr="00D974E4" w:rsidRDefault="00A8264D" w:rsidP="00A8264D">
      <w:pPr>
        <w:spacing w:after="20"/>
        <w:rPr>
          <w:i/>
          <w:szCs w:val="24"/>
          <w:lang w:val="sr-Latn-RS"/>
        </w:rPr>
      </w:pPr>
      <w:r w:rsidRPr="00D974E4">
        <w:rPr>
          <w:i/>
          <w:szCs w:val="24"/>
          <w:lang w:val="sr-Latn-RS"/>
        </w:rPr>
        <w:t>Tabela 2.2 Koeficijenti vremenskog i kapacitetnog iskorišćenja</w:t>
      </w:r>
      <w:r w:rsidR="00CB7188">
        <w:rPr>
          <w:i/>
          <w:szCs w:val="24"/>
          <w:lang w:val="sr-Latn-RS"/>
        </w:rPr>
        <w:t xml:space="preserve"> </w:t>
      </w:r>
      <w:r w:rsidR="00CB7188" w:rsidRPr="00D974E4">
        <w:rPr>
          <w:i/>
          <w:szCs w:val="24"/>
          <w:lang w:val="sr-Latn-RS"/>
        </w:rPr>
        <w:t>k</w:t>
      </w:r>
      <w:r w:rsidR="00CB7188" w:rsidRPr="00D974E4">
        <w:rPr>
          <w:i/>
          <w:szCs w:val="24"/>
          <w:vertAlign w:val="subscript"/>
          <w:lang w:val="sr-Latn-RS"/>
        </w:rPr>
        <w:t>t</w:t>
      </w:r>
      <w:r w:rsidR="00CB7188" w:rsidRPr="00D974E4">
        <w:rPr>
          <w:szCs w:val="24"/>
          <w:vertAlign w:val="subscript"/>
          <w:lang w:val="sr-Latn-RS"/>
        </w:rPr>
        <w:t xml:space="preserve"> </w:t>
      </w:r>
      <w:r w:rsidR="00CB7188" w:rsidRPr="00D974E4">
        <w:rPr>
          <w:szCs w:val="24"/>
          <w:lang w:val="sr-Latn-RS"/>
        </w:rPr>
        <w:t xml:space="preserve">i </w:t>
      </w:r>
      <w:r w:rsidR="00CB7188" w:rsidRPr="00D974E4">
        <w:rPr>
          <w:i/>
          <w:szCs w:val="24"/>
          <w:lang w:val="sr-Latn-RS"/>
        </w:rPr>
        <w:t>k</w:t>
      </w:r>
      <w:r w:rsidR="00CB7188" w:rsidRPr="00D974E4">
        <w:rPr>
          <w:i/>
          <w:szCs w:val="24"/>
          <w:vertAlign w:val="subscript"/>
          <w:lang w:val="sr-Latn-RS"/>
        </w:rPr>
        <w:t>q</w:t>
      </w:r>
    </w:p>
    <w:tbl>
      <w:tblPr>
        <w:tblStyle w:val="TableGrid"/>
        <w:tblW w:w="8962" w:type="dxa"/>
        <w:tblLook w:val="04A0" w:firstRow="1" w:lastRow="0" w:firstColumn="1" w:lastColumn="0" w:noHBand="0" w:noVBand="1"/>
      </w:tblPr>
      <w:tblGrid>
        <w:gridCol w:w="1649"/>
        <w:gridCol w:w="2268"/>
        <w:gridCol w:w="2494"/>
        <w:gridCol w:w="2551"/>
      </w:tblGrid>
      <w:tr w:rsidR="0070526D" w:rsidRPr="006E6BF5" w14:paraId="13083B22" w14:textId="77777777" w:rsidTr="006C5CBE">
        <w:trPr>
          <w:trHeight w:val="397"/>
        </w:trPr>
        <w:tc>
          <w:tcPr>
            <w:tcW w:w="1649" w:type="dxa"/>
            <w:shd w:val="clear" w:color="auto" w:fill="EAF1DD" w:themeFill="accent3" w:themeFillTint="33"/>
            <w:vAlign w:val="center"/>
          </w:tcPr>
          <w:p w14:paraId="24B27156" w14:textId="77777777" w:rsidR="0070526D" w:rsidRPr="002D0FB3" w:rsidRDefault="0070526D" w:rsidP="00E17D36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  <w:r w:rsidRPr="002D0FB3">
              <w:rPr>
                <w:b/>
                <w:bCs/>
                <w:i/>
                <w:iCs/>
                <w:sz w:val="22"/>
              </w:rPr>
              <w:t>Sistem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CB2A36A" w14:textId="77777777" w:rsidR="0070526D" w:rsidRPr="002D0FB3" w:rsidRDefault="0070526D" w:rsidP="0070526D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Rotorni bager</w:t>
            </w:r>
          </w:p>
        </w:tc>
        <w:tc>
          <w:tcPr>
            <w:tcW w:w="2494" w:type="dxa"/>
            <w:shd w:val="clear" w:color="auto" w:fill="EAF1DD" w:themeFill="accent3" w:themeFillTint="33"/>
            <w:vAlign w:val="center"/>
          </w:tcPr>
          <w:p w14:paraId="1C341C09" w14:textId="77777777" w:rsidR="0070526D" w:rsidRPr="002D0FB3" w:rsidRDefault="0070526D" w:rsidP="00E17D3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 xml:space="preserve">Koeficijent </w:t>
            </w:r>
          </w:p>
          <w:p w14:paraId="162448EF" w14:textId="77777777" w:rsidR="0070526D" w:rsidRPr="002D0FB3" w:rsidRDefault="0070526D" w:rsidP="00E17D3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vremenskog iskorišćenja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090EAD21" w14:textId="3343CAD2" w:rsidR="0070526D" w:rsidRPr="002D0FB3" w:rsidRDefault="0070526D" w:rsidP="00E17D3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Koefic</w:t>
            </w:r>
            <w:r w:rsidR="002D0FB3" w:rsidRPr="002D0FB3">
              <w:rPr>
                <w:b/>
                <w:bCs/>
                <w:i/>
                <w:iCs/>
                <w:sz w:val="22"/>
                <w:lang w:val="sr-Latn-RS"/>
              </w:rPr>
              <w:t>i</w:t>
            </w: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 xml:space="preserve">jent </w:t>
            </w:r>
          </w:p>
          <w:p w14:paraId="1314763A" w14:textId="77777777" w:rsidR="0070526D" w:rsidRPr="002D0FB3" w:rsidRDefault="0070526D" w:rsidP="00E17D3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kapacitetnog iskorišćenja</w:t>
            </w:r>
          </w:p>
        </w:tc>
      </w:tr>
      <w:tr w:rsidR="0070526D" w:rsidRPr="006E6BF5" w14:paraId="547C80E0" w14:textId="77777777" w:rsidTr="002D0FB3">
        <w:tc>
          <w:tcPr>
            <w:tcW w:w="1649" w:type="dxa"/>
            <w:vAlign w:val="center"/>
          </w:tcPr>
          <w:p w14:paraId="3DD13356" w14:textId="77777777" w:rsidR="0070526D" w:rsidRPr="006E6BF5" w:rsidRDefault="0070526D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 BTD</w:t>
            </w:r>
          </w:p>
        </w:tc>
        <w:tc>
          <w:tcPr>
            <w:tcW w:w="2268" w:type="dxa"/>
            <w:vAlign w:val="center"/>
          </w:tcPr>
          <w:p w14:paraId="1DAB359F" w14:textId="77777777" w:rsidR="0070526D" w:rsidRPr="00A6190F" w:rsidRDefault="0070526D" w:rsidP="00E17D36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SchRs 74</w:t>
            </w:r>
            <w:r w:rsidRPr="00A6190F">
              <w:rPr>
                <w:sz w:val="22"/>
                <w:szCs w:val="24"/>
              </w:rPr>
              <w:t>0 25/6</w:t>
            </w:r>
          </w:p>
        </w:tc>
        <w:tc>
          <w:tcPr>
            <w:tcW w:w="2494" w:type="dxa"/>
            <w:vAlign w:val="center"/>
          </w:tcPr>
          <w:p w14:paraId="4C34E443" w14:textId="77777777" w:rsidR="0070526D" w:rsidRPr="006E6BF5" w:rsidRDefault="0070526D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0,50</w:t>
            </w:r>
          </w:p>
        </w:tc>
        <w:tc>
          <w:tcPr>
            <w:tcW w:w="2551" w:type="dxa"/>
            <w:vAlign w:val="center"/>
          </w:tcPr>
          <w:p w14:paraId="2425AD77" w14:textId="77777777" w:rsidR="0070526D" w:rsidRPr="006E6BF5" w:rsidRDefault="00180613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0,13</w:t>
            </w:r>
          </w:p>
        </w:tc>
      </w:tr>
      <w:tr w:rsidR="0070526D" w:rsidRPr="006E6BF5" w14:paraId="70760EA6" w14:textId="77777777" w:rsidTr="002D0FB3">
        <w:tc>
          <w:tcPr>
            <w:tcW w:w="1649" w:type="dxa"/>
            <w:vAlign w:val="center"/>
          </w:tcPr>
          <w:p w14:paraId="4768F8A0" w14:textId="77777777" w:rsidR="0070526D" w:rsidRPr="006E6BF5" w:rsidRDefault="0070526D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II BTD</w:t>
            </w:r>
          </w:p>
        </w:tc>
        <w:tc>
          <w:tcPr>
            <w:tcW w:w="2268" w:type="dxa"/>
            <w:vAlign w:val="center"/>
          </w:tcPr>
          <w:p w14:paraId="2116F781" w14:textId="77777777" w:rsidR="0070526D" w:rsidRPr="00A6190F" w:rsidRDefault="0070526D" w:rsidP="00E17D36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SchRs 630 25/6</w:t>
            </w:r>
          </w:p>
        </w:tc>
        <w:tc>
          <w:tcPr>
            <w:tcW w:w="2494" w:type="dxa"/>
            <w:vAlign w:val="center"/>
          </w:tcPr>
          <w:p w14:paraId="0921E07D" w14:textId="77777777" w:rsidR="0070526D" w:rsidRPr="006E6BF5" w:rsidRDefault="0070526D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0,52</w:t>
            </w:r>
          </w:p>
        </w:tc>
        <w:tc>
          <w:tcPr>
            <w:tcW w:w="2551" w:type="dxa"/>
            <w:vAlign w:val="center"/>
          </w:tcPr>
          <w:p w14:paraId="73ADDFF7" w14:textId="77777777" w:rsidR="0070526D" w:rsidRPr="006E6BF5" w:rsidRDefault="0070526D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0,11</w:t>
            </w:r>
          </w:p>
        </w:tc>
      </w:tr>
      <w:tr w:rsidR="0070526D" w:rsidRPr="006E6BF5" w14:paraId="2D261855" w14:textId="77777777" w:rsidTr="002D0FB3">
        <w:tc>
          <w:tcPr>
            <w:tcW w:w="1649" w:type="dxa"/>
            <w:vAlign w:val="center"/>
          </w:tcPr>
          <w:p w14:paraId="7C1CE352" w14:textId="77777777" w:rsidR="0070526D" w:rsidRPr="006E6BF5" w:rsidRDefault="0070526D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III BTD</w:t>
            </w:r>
          </w:p>
        </w:tc>
        <w:tc>
          <w:tcPr>
            <w:tcW w:w="2268" w:type="dxa"/>
            <w:vAlign w:val="center"/>
          </w:tcPr>
          <w:p w14:paraId="7B49CC14" w14:textId="77777777" w:rsidR="0070526D" w:rsidRPr="00A6190F" w:rsidRDefault="0070526D" w:rsidP="00E17D36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SchRs 630 25/6</w:t>
            </w:r>
          </w:p>
        </w:tc>
        <w:tc>
          <w:tcPr>
            <w:tcW w:w="2494" w:type="dxa"/>
            <w:vAlign w:val="center"/>
          </w:tcPr>
          <w:p w14:paraId="59270EE1" w14:textId="77777777" w:rsidR="0070526D" w:rsidRPr="006E6BF5" w:rsidRDefault="0070526D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0,37</w:t>
            </w:r>
          </w:p>
        </w:tc>
        <w:tc>
          <w:tcPr>
            <w:tcW w:w="2551" w:type="dxa"/>
            <w:vAlign w:val="center"/>
          </w:tcPr>
          <w:p w14:paraId="4A72B211" w14:textId="77777777" w:rsidR="0070526D" w:rsidRPr="006E6BF5" w:rsidRDefault="0070526D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0,08</w:t>
            </w:r>
          </w:p>
        </w:tc>
      </w:tr>
      <w:tr w:rsidR="0070526D" w:rsidRPr="006E6BF5" w14:paraId="686ABB52" w14:textId="77777777" w:rsidTr="002D0FB3">
        <w:tc>
          <w:tcPr>
            <w:tcW w:w="1649" w:type="dxa"/>
            <w:vAlign w:val="center"/>
          </w:tcPr>
          <w:p w14:paraId="29804CC6" w14:textId="77777777" w:rsidR="0070526D" w:rsidRPr="006E6BF5" w:rsidRDefault="0070526D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IV BTD</w:t>
            </w:r>
          </w:p>
        </w:tc>
        <w:tc>
          <w:tcPr>
            <w:tcW w:w="2268" w:type="dxa"/>
            <w:vAlign w:val="center"/>
          </w:tcPr>
          <w:p w14:paraId="3A0DFDE1" w14:textId="77777777" w:rsidR="0070526D" w:rsidRPr="00A6190F" w:rsidRDefault="0070526D" w:rsidP="00E17D36">
            <w:pPr>
              <w:spacing w:after="0"/>
              <w:jc w:val="center"/>
              <w:rPr>
                <w:sz w:val="22"/>
                <w:szCs w:val="24"/>
              </w:rPr>
            </w:pPr>
            <w:r w:rsidRPr="00A6190F">
              <w:rPr>
                <w:sz w:val="22"/>
                <w:szCs w:val="24"/>
              </w:rPr>
              <w:t>ERs 1000/20</w:t>
            </w:r>
          </w:p>
        </w:tc>
        <w:tc>
          <w:tcPr>
            <w:tcW w:w="2494" w:type="dxa"/>
            <w:vAlign w:val="center"/>
          </w:tcPr>
          <w:p w14:paraId="45D1722F" w14:textId="77777777" w:rsidR="0070526D" w:rsidRPr="006E6BF5" w:rsidRDefault="000862A9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0,42</w:t>
            </w:r>
          </w:p>
        </w:tc>
        <w:tc>
          <w:tcPr>
            <w:tcW w:w="2551" w:type="dxa"/>
            <w:vAlign w:val="center"/>
          </w:tcPr>
          <w:p w14:paraId="0F165FED" w14:textId="77777777" w:rsidR="0070526D" w:rsidRPr="006E6BF5" w:rsidRDefault="0070526D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0,17</w:t>
            </w:r>
          </w:p>
        </w:tc>
      </w:tr>
    </w:tbl>
    <w:p w14:paraId="61A129C7" w14:textId="25E99FF2" w:rsidR="002653C9" w:rsidRDefault="000862A9" w:rsidP="00180613">
      <w:pPr>
        <w:spacing w:before="120"/>
        <w:rPr>
          <w:lang w:val="sr-Latn-RS"/>
        </w:rPr>
      </w:pPr>
      <w:r>
        <w:rPr>
          <w:lang w:val="sr-Latn-RS"/>
        </w:rPr>
        <w:t>Direktan uticaj na ostvareno vremensko iskorišćenje imaju zastoji sistema. Stvarni kapacitet rotornih bagera je manji u odnosu na teorijski</w:t>
      </w:r>
      <w:r w:rsidR="00FA1565">
        <w:rPr>
          <w:lang w:val="sr-Latn-RS"/>
        </w:rPr>
        <w:t xml:space="preserve"> </w:t>
      </w:r>
      <w:r w:rsidR="00FA1565">
        <w:rPr>
          <w:rFonts w:cs="Times New Roman"/>
          <w:lang w:val="sr-Latn-RS"/>
        </w:rPr>
        <w:t>[2]</w:t>
      </w:r>
      <w:r>
        <w:rPr>
          <w:lang w:val="sr-Latn-RS"/>
        </w:rPr>
        <w:t>. Razlog tome je usklađivanje količine otkopanog uglja zahtevima drobilane, kao i sistemu međuslojne jalovine, ukoliko sistem radi na otkopavanju proslojaka.</w:t>
      </w:r>
    </w:p>
    <w:p w14:paraId="7ECCB432" w14:textId="77777777" w:rsidR="00B457A6" w:rsidRDefault="009F30DE" w:rsidP="009B28D9">
      <w:pPr>
        <w:spacing w:before="120"/>
        <w:rPr>
          <w:lang w:val="sr-Latn-RS"/>
        </w:rPr>
      </w:pPr>
      <w:r>
        <w:rPr>
          <w:lang w:val="sr-Latn-RS"/>
        </w:rPr>
        <w:t>Rad svakog</w:t>
      </w:r>
      <w:r w:rsidR="000862A9">
        <w:rPr>
          <w:lang w:val="sr-Latn-RS"/>
        </w:rPr>
        <w:t xml:space="preserve"> sistema prate</w:t>
      </w:r>
      <w:r>
        <w:rPr>
          <w:lang w:val="sr-Latn-RS"/>
        </w:rPr>
        <w:t xml:space="preserve"> određeni zastoji. </w:t>
      </w:r>
      <w:r w:rsidR="002653C9">
        <w:rPr>
          <w:lang w:val="sr-Latn-RS"/>
        </w:rPr>
        <w:t>Zastoji u osnovi mogu biti planirani i neplanirani. Planirani zastoji odnose se na unapred definisane tehnološke operacije i redovna serv</w:t>
      </w:r>
      <w:r w:rsidR="005157E4">
        <w:rPr>
          <w:lang w:val="sr-Latn-RS"/>
        </w:rPr>
        <w:t>i</w:t>
      </w:r>
      <w:r w:rsidR="002653C9">
        <w:rPr>
          <w:lang w:val="sr-Latn-RS"/>
        </w:rPr>
        <w:t xml:space="preserve">sna </w:t>
      </w:r>
      <w:r w:rsidR="005157E4">
        <w:rPr>
          <w:lang w:val="sr-Latn-RS"/>
        </w:rPr>
        <w:t>održavanja. Neplanirani zastoji</w:t>
      </w:r>
      <w:r w:rsidR="002653C9">
        <w:rPr>
          <w:lang w:val="sr-Latn-RS"/>
        </w:rPr>
        <w:t xml:space="preserve"> su prateći element koji nije sastavni deo vremena rada sistema i ne može se predvideti. Kategorizacija zastoja izvršena je grupisanjem na:</w:t>
      </w:r>
    </w:p>
    <w:p w14:paraId="0E29DA81" w14:textId="77777777" w:rsidR="002653C9" w:rsidRDefault="002653C9" w:rsidP="002653C9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tehnološke zastoje,</w:t>
      </w:r>
    </w:p>
    <w:p w14:paraId="76B02F8C" w14:textId="77777777" w:rsidR="002653C9" w:rsidRDefault="002653C9" w:rsidP="002653C9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mašinske zastoje,</w:t>
      </w:r>
    </w:p>
    <w:p w14:paraId="601CFFE6" w14:textId="77777777" w:rsidR="002653C9" w:rsidRPr="006068A6" w:rsidRDefault="002653C9" w:rsidP="006068A6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elektro zastoje</w:t>
      </w:r>
      <w:r w:rsidR="006068A6">
        <w:rPr>
          <w:lang w:val="sr-Latn-RS"/>
        </w:rPr>
        <w:t xml:space="preserve"> </w:t>
      </w:r>
      <w:r w:rsidRPr="006068A6">
        <w:rPr>
          <w:lang w:val="sr-Latn-RS"/>
        </w:rPr>
        <w:t>i</w:t>
      </w:r>
    </w:p>
    <w:p w14:paraId="53920613" w14:textId="77777777" w:rsidR="002653C9" w:rsidRDefault="002653C9" w:rsidP="002653C9">
      <w:pPr>
        <w:pStyle w:val="ListParagraph"/>
        <w:numPr>
          <w:ilvl w:val="0"/>
          <w:numId w:val="4"/>
        </w:numPr>
        <w:ind w:left="714" w:hanging="357"/>
        <w:contextualSpacing w:val="0"/>
        <w:rPr>
          <w:lang w:val="sr-Latn-RS"/>
        </w:rPr>
      </w:pPr>
      <w:r>
        <w:rPr>
          <w:lang w:val="sr-Latn-RS"/>
        </w:rPr>
        <w:t>ostale zastoje.</w:t>
      </w:r>
    </w:p>
    <w:p w14:paraId="23FFF9D8" w14:textId="77777777" w:rsidR="002653C9" w:rsidRDefault="002653C9" w:rsidP="00E17D36">
      <w:pPr>
        <w:rPr>
          <w:lang w:val="sr-Latn-RS"/>
        </w:rPr>
      </w:pPr>
      <w:r>
        <w:rPr>
          <w:lang w:val="sr-Latn-RS"/>
        </w:rPr>
        <w:t>Vremena zastoja prema predstavljenim kategorijama za period od prvih šest meseci ra</w:t>
      </w:r>
      <w:r w:rsidR="005157E4">
        <w:rPr>
          <w:lang w:val="sr-Latn-RS"/>
        </w:rPr>
        <w:t>da u tekućoj godini prikazana su</w:t>
      </w:r>
      <w:r>
        <w:rPr>
          <w:lang w:val="sr-Latn-RS"/>
        </w:rPr>
        <w:t xml:space="preserve"> u tabeli 2.3.</w:t>
      </w:r>
    </w:p>
    <w:p w14:paraId="2E209F5F" w14:textId="687CDCFF" w:rsidR="000862A9" w:rsidRPr="001C77F4" w:rsidRDefault="000862A9" w:rsidP="00EF21AC">
      <w:pPr>
        <w:spacing w:after="20"/>
        <w:jc w:val="left"/>
        <w:rPr>
          <w:lang w:val="sr-Latn-RS"/>
        </w:rPr>
      </w:pPr>
      <w:r w:rsidRPr="000862A9">
        <w:rPr>
          <w:i/>
          <w:lang w:val="sr-Latn-RS"/>
        </w:rPr>
        <w:t>Tabela 2.3 Zastoji sistema</w:t>
      </w:r>
      <w:r w:rsidR="001C77F4">
        <w:rPr>
          <w:i/>
          <w:lang w:val="sr-Latn-RS"/>
        </w:rPr>
        <w:t xml:space="preserve"> </w:t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1246"/>
        <w:gridCol w:w="2041"/>
        <w:gridCol w:w="1984"/>
        <w:gridCol w:w="1984"/>
        <w:gridCol w:w="1984"/>
      </w:tblGrid>
      <w:tr w:rsidR="006068A6" w:rsidRPr="006E6BF5" w14:paraId="4ACE681A" w14:textId="77777777" w:rsidTr="002D0FB3">
        <w:trPr>
          <w:trHeight w:val="340"/>
        </w:trPr>
        <w:tc>
          <w:tcPr>
            <w:tcW w:w="1246" w:type="dxa"/>
            <w:shd w:val="clear" w:color="auto" w:fill="FDE9D9" w:themeFill="accent6" w:themeFillTint="33"/>
            <w:vAlign w:val="center"/>
          </w:tcPr>
          <w:p w14:paraId="348ED96D" w14:textId="77777777" w:rsidR="006068A6" w:rsidRPr="002D0FB3" w:rsidRDefault="006068A6" w:rsidP="006068A6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  <w:r w:rsidRPr="002D0FB3">
              <w:rPr>
                <w:b/>
                <w:bCs/>
                <w:i/>
                <w:iCs/>
                <w:sz w:val="22"/>
              </w:rPr>
              <w:t>Sistem</w:t>
            </w:r>
          </w:p>
        </w:tc>
        <w:tc>
          <w:tcPr>
            <w:tcW w:w="2041" w:type="dxa"/>
            <w:shd w:val="clear" w:color="auto" w:fill="FDE9D9" w:themeFill="accent6" w:themeFillTint="33"/>
            <w:vAlign w:val="center"/>
          </w:tcPr>
          <w:p w14:paraId="6738033C" w14:textId="0999CBD9" w:rsidR="006068A6" w:rsidRPr="002D0FB3" w:rsidRDefault="006068A6" w:rsidP="006068A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Tehnološki</w:t>
            </w:r>
            <w:r w:rsidR="00EF21AC" w:rsidRPr="002D0FB3">
              <w:rPr>
                <w:b/>
                <w:bCs/>
                <w:i/>
                <w:iCs/>
                <w:sz w:val="22"/>
                <w:lang w:val="sr-Latn-RS"/>
              </w:rPr>
              <w:t xml:space="preserve"> </w:t>
            </w:r>
            <w:r w:rsidR="00EF21AC" w:rsidRPr="002D0FB3">
              <w:rPr>
                <w:b/>
                <w:bCs/>
                <w:sz w:val="22"/>
                <w:lang w:val="sr-Latn-RS"/>
              </w:rPr>
              <w:t>[h, min]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6AE1106D" w14:textId="1BA59FA2" w:rsidR="006068A6" w:rsidRPr="002D0FB3" w:rsidRDefault="006068A6" w:rsidP="006068A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Mašinski</w:t>
            </w:r>
            <w:r w:rsidR="00EF21AC" w:rsidRPr="002D0FB3">
              <w:rPr>
                <w:b/>
                <w:bCs/>
                <w:i/>
                <w:iCs/>
                <w:sz w:val="22"/>
                <w:lang w:val="sr-Latn-RS"/>
              </w:rPr>
              <w:t xml:space="preserve"> </w:t>
            </w:r>
            <w:r w:rsidR="00EF21AC" w:rsidRPr="002D0FB3">
              <w:rPr>
                <w:b/>
                <w:bCs/>
                <w:sz w:val="22"/>
                <w:lang w:val="sr-Latn-RS"/>
              </w:rPr>
              <w:t>[h, min]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57401A8F" w14:textId="104ABA1D" w:rsidR="006068A6" w:rsidRPr="002D0FB3" w:rsidRDefault="006068A6" w:rsidP="006068A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Elektro</w:t>
            </w:r>
            <w:r w:rsidR="00EF21AC" w:rsidRPr="002D0FB3">
              <w:rPr>
                <w:b/>
                <w:bCs/>
                <w:i/>
                <w:iCs/>
                <w:sz w:val="22"/>
                <w:lang w:val="sr-Latn-RS"/>
              </w:rPr>
              <w:t xml:space="preserve"> </w:t>
            </w:r>
            <w:r w:rsidR="00EF21AC" w:rsidRPr="002D0FB3">
              <w:rPr>
                <w:b/>
                <w:bCs/>
                <w:sz w:val="22"/>
                <w:lang w:val="sr-Latn-RS"/>
              </w:rPr>
              <w:t>[h, min]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5147CE9E" w14:textId="3651F040" w:rsidR="006068A6" w:rsidRPr="002D0FB3" w:rsidRDefault="006068A6" w:rsidP="006068A6">
            <w:pPr>
              <w:spacing w:after="0"/>
              <w:jc w:val="center"/>
              <w:rPr>
                <w:b/>
                <w:bCs/>
                <w:i/>
                <w:iCs/>
                <w:sz w:val="22"/>
                <w:lang w:val="sr-Latn-RS"/>
              </w:rPr>
            </w:pPr>
            <w:r w:rsidRPr="002D0FB3">
              <w:rPr>
                <w:b/>
                <w:bCs/>
                <w:i/>
                <w:iCs/>
                <w:sz w:val="22"/>
                <w:lang w:val="sr-Latn-RS"/>
              </w:rPr>
              <w:t>Ostali</w:t>
            </w:r>
            <w:r w:rsidR="00EF21AC" w:rsidRPr="002D0FB3">
              <w:rPr>
                <w:b/>
                <w:bCs/>
                <w:i/>
                <w:iCs/>
                <w:sz w:val="22"/>
                <w:lang w:val="sr-Latn-RS"/>
              </w:rPr>
              <w:t xml:space="preserve"> </w:t>
            </w:r>
            <w:r w:rsidR="00EF21AC" w:rsidRPr="002D0FB3">
              <w:rPr>
                <w:b/>
                <w:bCs/>
                <w:sz w:val="22"/>
                <w:lang w:val="sr-Latn-RS"/>
              </w:rPr>
              <w:t>[h, min]</w:t>
            </w:r>
          </w:p>
        </w:tc>
      </w:tr>
      <w:tr w:rsidR="006068A6" w:rsidRPr="006E6BF5" w14:paraId="6FC62A14" w14:textId="77777777" w:rsidTr="002D0FB3">
        <w:tc>
          <w:tcPr>
            <w:tcW w:w="1246" w:type="dxa"/>
            <w:vAlign w:val="center"/>
          </w:tcPr>
          <w:p w14:paraId="6B7C8C14" w14:textId="77777777" w:rsidR="006068A6" w:rsidRPr="006E6BF5" w:rsidRDefault="006068A6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 BTD</w:t>
            </w:r>
          </w:p>
        </w:tc>
        <w:tc>
          <w:tcPr>
            <w:tcW w:w="2041" w:type="dxa"/>
            <w:vAlign w:val="center"/>
          </w:tcPr>
          <w:p w14:paraId="2416C4EB" w14:textId="77777777" w:rsidR="006068A6" w:rsidRPr="00A6190F" w:rsidRDefault="006068A6" w:rsidP="00E17D36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446,15</w:t>
            </w:r>
          </w:p>
        </w:tc>
        <w:tc>
          <w:tcPr>
            <w:tcW w:w="1984" w:type="dxa"/>
            <w:vAlign w:val="center"/>
          </w:tcPr>
          <w:p w14:paraId="188D2358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180,10</w:t>
            </w:r>
          </w:p>
        </w:tc>
        <w:tc>
          <w:tcPr>
            <w:tcW w:w="1984" w:type="dxa"/>
            <w:vAlign w:val="center"/>
          </w:tcPr>
          <w:p w14:paraId="7991B4BE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52,55</w:t>
            </w:r>
          </w:p>
        </w:tc>
        <w:tc>
          <w:tcPr>
            <w:tcW w:w="1984" w:type="dxa"/>
          </w:tcPr>
          <w:p w14:paraId="65CFCBB1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1513,15</w:t>
            </w:r>
          </w:p>
        </w:tc>
      </w:tr>
      <w:tr w:rsidR="006068A6" w:rsidRPr="006E6BF5" w14:paraId="1F02E950" w14:textId="77777777" w:rsidTr="002D0FB3">
        <w:tc>
          <w:tcPr>
            <w:tcW w:w="1246" w:type="dxa"/>
            <w:vAlign w:val="center"/>
          </w:tcPr>
          <w:p w14:paraId="204926DF" w14:textId="77777777" w:rsidR="006068A6" w:rsidRPr="006E6BF5" w:rsidRDefault="006068A6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II BTD</w:t>
            </w:r>
          </w:p>
        </w:tc>
        <w:tc>
          <w:tcPr>
            <w:tcW w:w="2041" w:type="dxa"/>
            <w:vAlign w:val="center"/>
          </w:tcPr>
          <w:p w14:paraId="3164F82D" w14:textId="77777777" w:rsidR="006068A6" w:rsidRPr="00A6190F" w:rsidRDefault="006068A6" w:rsidP="00E17D36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662,25</w:t>
            </w:r>
          </w:p>
        </w:tc>
        <w:tc>
          <w:tcPr>
            <w:tcW w:w="1984" w:type="dxa"/>
            <w:vAlign w:val="center"/>
          </w:tcPr>
          <w:p w14:paraId="0991B4E9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278,50</w:t>
            </w:r>
          </w:p>
        </w:tc>
        <w:tc>
          <w:tcPr>
            <w:tcW w:w="1984" w:type="dxa"/>
            <w:vAlign w:val="center"/>
          </w:tcPr>
          <w:p w14:paraId="35D60AF6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108,15</w:t>
            </w:r>
          </w:p>
        </w:tc>
        <w:tc>
          <w:tcPr>
            <w:tcW w:w="1984" w:type="dxa"/>
          </w:tcPr>
          <w:p w14:paraId="6F6F61AC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1038,35</w:t>
            </w:r>
          </w:p>
        </w:tc>
      </w:tr>
      <w:tr w:rsidR="006068A6" w:rsidRPr="006E6BF5" w14:paraId="4AB4BABB" w14:textId="77777777" w:rsidTr="002D0FB3">
        <w:tc>
          <w:tcPr>
            <w:tcW w:w="1246" w:type="dxa"/>
            <w:vAlign w:val="center"/>
          </w:tcPr>
          <w:p w14:paraId="4DBD7635" w14:textId="77777777" w:rsidR="006068A6" w:rsidRPr="006E6BF5" w:rsidRDefault="006068A6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III BTD</w:t>
            </w:r>
          </w:p>
        </w:tc>
        <w:tc>
          <w:tcPr>
            <w:tcW w:w="2041" w:type="dxa"/>
            <w:vAlign w:val="center"/>
          </w:tcPr>
          <w:p w14:paraId="786CA86A" w14:textId="77777777" w:rsidR="006068A6" w:rsidRPr="00A6190F" w:rsidRDefault="006068A6" w:rsidP="00E17D36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561,30</w:t>
            </w:r>
          </w:p>
        </w:tc>
        <w:tc>
          <w:tcPr>
            <w:tcW w:w="1984" w:type="dxa"/>
            <w:vAlign w:val="center"/>
          </w:tcPr>
          <w:p w14:paraId="7B85F08D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218,55</w:t>
            </w:r>
          </w:p>
        </w:tc>
        <w:tc>
          <w:tcPr>
            <w:tcW w:w="1984" w:type="dxa"/>
            <w:vAlign w:val="center"/>
          </w:tcPr>
          <w:p w14:paraId="5C6A4FC6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80,10</w:t>
            </w:r>
          </w:p>
        </w:tc>
        <w:tc>
          <w:tcPr>
            <w:tcW w:w="1984" w:type="dxa"/>
          </w:tcPr>
          <w:p w14:paraId="75835730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1857,40</w:t>
            </w:r>
          </w:p>
        </w:tc>
      </w:tr>
      <w:tr w:rsidR="006068A6" w:rsidRPr="006E6BF5" w14:paraId="7694DF6B" w14:textId="77777777" w:rsidTr="002D0FB3">
        <w:tc>
          <w:tcPr>
            <w:tcW w:w="1246" w:type="dxa"/>
            <w:vAlign w:val="center"/>
          </w:tcPr>
          <w:p w14:paraId="126C8029" w14:textId="77777777" w:rsidR="006068A6" w:rsidRPr="006E6BF5" w:rsidRDefault="006068A6" w:rsidP="00E17D36">
            <w:pPr>
              <w:spacing w:after="0"/>
              <w:jc w:val="center"/>
              <w:rPr>
                <w:sz w:val="22"/>
              </w:rPr>
            </w:pPr>
            <w:r w:rsidRPr="006E6BF5">
              <w:rPr>
                <w:sz w:val="22"/>
              </w:rPr>
              <w:t>IV BTD</w:t>
            </w:r>
          </w:p>
        </w:tc>
        <w:tc>
          <w:tcPr>
            <w:tcW w:w="2041" w:type="dxa"/>
            <w:vAlign w:val="center"/>
          </w:tcPr>
          <w:p w14:paraId="677D71C5" w14:textId="77777777" w:rsidR="006068A6" w:rsidRPr="00A6190F" w:rsidRDefault="006068A6" w:rsidP="00E17D36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300,45</w:t>
            </w:r>
          </w:p>
        </w:tc>
        <w:tc>
          <w:tcPr>
            <w:tcW w:w="1984" w:type="dxa"/>
            <w:vAlign w:val="center"/>
          </w:tcPr>
          <w:p w14:paraId="52827A57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190,25</w:t>
            </w:r>
          </w:p>
        </w:tc>
        <w:tc>
          <w:tcPr>
            <w:tcW w:w="1984" w:type="dxa"/>
            <w:vAlign w:val="center"/>
          </w:tcPr>
          <w:p w14:paraId="729C4B65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35,25</w:t>
            </w:r>
          </w:p>
        </w:tc>
        <w:tc>
          <w:tcPr>
            <w:tcW w:w="1984" w:type="dxa"/>
          </w:tcPr>
          <w:p w14:paraId="71056231" w14:textId="77777777" w:rsidR="006068A6" w:rsidRPr="006E6BF5" w:rsidRDefault="006068A6" w:rsidP="00E17D36">
            <w:pPr>
              <w:spacing w:after="0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1990,55</w:t>
            </w:r>
          </w:p>
        </w:tc>
      </w:tr>
    </w:tbl>
    <w:p w14:paraId="484C022F" w14:textId="2687EDA9" w:rsidR="00180613" w:rsidRDefault="0029314A" w:rsidP="00AF3EC7">
      <w:pPr>
        <w:spacing w:before="120"/>
        <w:rPr>
          <w:lang w:val="sr-Latn-RS"/>
        </w:rPr>
      </w:pPr>
      <w:r>
        <w:rPr>
          <w:lang w:val="sr-Latn-RS"/>
        </w:rPr>
        <w:t>Iz tabele se može uočiti da su dominantni zastoji</w:t>
      </w:r>
      <w:r w:rsidR="00900F3E">
        <w:rPr>
          <w:lang w:val="sr-Latn-RS"/>
        </w:rPr>
        <w:t xml:space="preserve"> </w:t>
      </w:r>
      <w:r w:rsidR="00EF21AC" w:rsidRPr="00EF21AC">
        <w:rPr>
          <w:lang w:val="sr-Latn-RS"/>
        </w:rPr>
        <w:t>svrstani</w:t>
      </w:r>
      <w:r w:rsidR="00900F3E" w:rsidRPr="00EF21AC">
        <w:rPr>
          <w:lang w:val="sr-Latn-RS"/>
        </w:rPr>
        <w:t xml:space="preserve"> u grupu „ostali</w:t>
      </w:r>
      <w:r w:rsidR="00EF21AC" w:rsidRPr="00EF21AC">
        <w:rPr>
          <w:lang w:val="sr-Latn-RS"/>
        </w:rPr>
        <w:t>h</w:t>
      </w:r>
      <w:r w:rsidR="00900F3E" w:rsidRPr="00EF21AC">
        <w:rPr>
          <w:lang w:val="sr-Latn-RS"/>
        </w:rPr>
        <w:t>“</w:t>
      </w:r>
      <w:r w:rsidRPr="00EF21AC">
        <w:rPr>
          <w:lang w:val="sr-Latn-RS"/>
        </w:rPr>
        <w:t xml:space="preserve">. </w:t>
      </w:r>
      <w:r>
        <w:rPr>
          <w:lang w:val="sr-Latn-RS"/>
        </w:rPr>
        <w:t>U ovu kategoriju ubrajaju se zastoji kao što su pauze sistema u trajanju od 30 min</w:t>
      </w:r>
      <w:r w:rsidR="005157E4">
        <w:rPr>
          <w:lang w:val="sr-Latn-RS"/>
        </w:rPr>
        <w:t>uta</w:t>
      </w:r>
      <w:r>
        <w:rPr>
          <w:lang w:val="sr-Latn-RS"/>
        </w:rPr>
        <w:t xml:space="preserve"> za svaku smenu od 8h, zatim nepredviđeni zastoji poput meteoroloških uslova, kašnjenje smene i uticaj trećih lica na rad sistema (zastoji drobilane, TENT</w:t>
      </w:r>
      <w:r w:rsidR="0026420C">
        <w:rPr>
          <w:lang w:val="sr-Latn-RS"/>
        </w:rPr>
        <w:t>–</w:t>
      </w:r>
      <w:r>
        <w:rPr>
          <w:lang w:val="sr-Latn-RS"/>
        </w:rPr>
        <w:t xml:space="preserve">a, Elektromreže, pomoćne mehanizacije i dr.). </w:t>
      </w:r>
    </w:p>
    <w:p w14:paraId="26FC97B9" w14:textId="77777777" w:rsidR="002653C9" w:rsidRPr="002653C9" w:rsidRDefault="007E73B7" w:rsidP="00AF3EC7">
      <w:pPr>
        <w:spacing w:before="120" w:after="300"/>
        <w:rPr>
          <w:lang w:val="sr-Latn-RS"/>
        </w:rPr>
      </w:pPr>
      <w:r>
        <w:rPr>
          <w:lang w:val="sr-Latn-RS"/>
        </w:rPr>
        <w:t xml:space="preserve">Posmatrajući tehnološke, mašinske i elektro zastoje, </w:t>
      </w:r>
      <w:r w:rsidR="005157E4">
        <w:rPr>
          <w:lang w:val="sr-Latn-RS"/>
        </w:rPr>
        <w:t xml:space="preserve">najviše su prisutni </w:t>
      </w:r>
      <w:r>
        <w:rPr>
          <w:lang w:val="sr-Latn-RS"/>
        </w:rPr>
        <w:t>tehnološki. Ovi zastoji podrazumevaju svakodnevne tehnološke operacije koje se odnose na pomeranje, produžetak i skraćenje transportera, transport otkopne mehanizacije itd.</w:t>
      </w:r>
    </w:p>
    <w:p w14:paraId="43555518" w14:textId="77777777" w:rsidR="003D0DE6" w:rsidRPr="00B457A6" w:rsidRDefault="00B457A6" w:rsidP="00B457A6">
      <w:pPr>
        <w:pStyle w:val="ListParagraph"/>
        <w:numPr>
          <w:ilvl w:val="0"/>
          <w:numId w:val="2"/>
        </w:numPr>
        <w:spacing w:before="120"/>
        <w:rPr>
          <w:b/>
          <w:vertAlign w:val="superscript"/>
          <w:lang w:val="sr-Latn-RS"/>
        </w:rPr>
      </w:pPr>
      <w:r w:rsidRPr="00B457A6">
        <w:rPr>
          <w:b/>
          <w:lang w:val="sr-Latn-RS"/>
        </w:rPr>
        <w:lastRenderedPageBreak/>
        <w:t>Primenjena metodologija</w:t>
      </w:r>
    </w:p>
    <w:p w14:paraId="3BAE5F19" w14:textId="11AB4971" w:rsidR="007E73B7" w:rsidRDefault="007E73B7" w:rsidP="00B457A6">
      <w:pPr>
        <w:pStyle w:val="ListContinue2"/>
        <w:ind w:left="0"/>
        <w:contextualSpacing w:val="0"/>
        <w:rPr>
          <w:lang w:val="sr-Latn-RS"/>
        </w:rPr>
      </w:pPr>
      <w:r>
        <w:rPr>
          <w:lang w:val="sr-Latn-RS"/>
        </w:rPr>
        <w:t xml:space="preserve">Za verodostojnu ocenu eksploatacionih učinaka ugljenih sistema primenjeni su modeli zasnovani na metodama višekriterijumskog odlučivanja. Ova metodologija podrazumeva definisanje ulaznih parametara koji se odgovarajućim matematičkim </w:t>
      </w:r>
      <w:r w:rsidR="00543EDD">
        <w:rPr>
          <w:lang w:val="sr-Latn-RS"/>
        </w:rPr>
        <w:t>jednačinama</w:t>
      </w:r>
      <w:r>
        <w:rPr>
          <w:lang w:val="sr-Latn-RS"/>
        </w:rPr>
        <w:t xml:space="preserve"> prevode u vrednosti</w:t>
      </w:r>
      <w:r w:rsidR="00543EDD">
        <w:rPr>
          <w:lang w:val="sr-Latn-RS"/>
        </w:rPr>
        <w:t>,</w:t>
      </w:r>
      <w:r>
        <w:rPr>
          <w:lang w:val="sr-Latn-RS"/>
        </w:rPr>
        <w:t xml:space="preserve"> na osnovu kojih se dalje vrši rangiranje ponuđenih alternativa</w:t>
      </w:r>
      <w:r w:rsidR="004E043C">
        <w:rPr>
          <w:lang w:val="sr-Latn-RS"/>
        </w:rPr>
        <w:t xml:space="preserve"> [4,5]</w:t>
      </w:r>
      <w:r>
        <w:rPr>
          <w:lang w:val="sr-Latn-RS"/>
        </w:rPr>
        <w:t>.</w:t>
      </w:r>
    </w:p>
    <w:p w14:paraId="2B8312B5" w14:textId="4BD4703A" w:rsidR="00B457A6" w:rsidRPr="00900F3E" w:rsidRDefault="00B457A6" w:rsidP="00B457A6">
      <w:pPr>
        <w:pStyle w:val="ListContinue2"/>
        <w:ind w:left="0"/>
        <w:contextualSpacing w:val="0"/>
        <w:rPr>
          <w:lang w:val="sr-Latn-RS"/>
        </w:rPr>
      </w:pPr>
      <w:r w:rsidRPr="00EF21AC">
        <w:rPr>
          <w:lang w:val="sr-Latn-RS"/>
        </w:rPr>
        <w:t>Višekriterijumsko odlučivanje</w:t>
      </w:r>
      <w:r w:rsidR="00370770" w:rsidRPr="00EF21AC">
        <w:rPr>
          <w:lang w:val="sr-Latn-RS"/>
        </w:rPr>
        <w:t xml:space="preserve"> (VKO)</w:t>
      </w:r>
      <w:r w:rsidRPr="00EF21AC">
        <w:rPr>
          <w:lang w:val="sr-Latn-RS"/>
        </w:rPr>
        <w:t xml:space="preserve"> (</w:t>
      </w:r>
      <w:r w:rsidRPr="00EF21AC">
        <w:rPr>
          <w:iCs/>
          <w:lang w:val="sr-Latn-RS"/>
        </w:rPr>
        <w:t>eng</w:t>
      </w:r>
      <w:r w:rsidR="00900F3E" w:rsidRPr="00EF21AC">
        <w:rPr>
          <w:iCs/>
          <w:lang w:val="sr-Latn-RS"/>
        </w:rPr>
        <w:t>l</w:t>
      </w:r>
      <w:r w:rsidRPr="00EF21AC">
        <w:rPr>
          <w:iCs/>
          <w:lang w:val="sr-Latn-RS"/>
        </w:rPr>
        <w:t>.</w:t>
      </w:r>
      <w:r w:rsidRPr="00EF21AC">
        <w:rPr>
          <w:lang w:val="sr-Latn-RS"/>
        </w:rPr>
        <w:t xml:space="preserve"> </w:t>
      </w:r>
      <w:r w:rsidRPr="00EF21AC">
        <w:rPr>
          <w:i/>
          <w:iCs/>
          <w:lang w:val="sr-Latn-RS"/>
        </w:rPr>
        <w:t>Multiple Criteria Decision Making</w:t>
      </w:r>
      <w:r w:rsidR="008F054D">
        <w:rPr>
          <w:i/>
          <w:iCs/>
          <w:lang w:val="sr-Latn-RS"/>
        </w:rPr>
        <w:t xml:space="preserve"> </w:t>
      </w:r>
      <w:r w:rsidR="009E531F" w:rsidRPr="00EF21AC">
        <w:rPr>
          <w:lang w:val="sr-Latn-RS"/>
        </w:rPr>
        <w:t>–</w:t>
      </w:r>
      <w:r w:rsidR="008F054D">
        <w:rPr>
          <w:lang w:val="sr-Latn-RS"/>
        </w:rPr>
        <w:t xml:space="preserve"> </w:t>
      </w:r>
      <w:r w:rsidRPr="00EF21AC">
        <w:rPr>
          <w:i/>
          <w:lang w:val="sr-Latn-RS"/>
        </w:rPr>
        <w:t>MCDM</w:t>
      </w:r>
      <w:r w:rsidRPr="00EF21AC">
        <w:rPr>
          <w:lang w:val="sr-Latn-RS"/>
        </w:rPr>
        <w:t xml:space="preserve">) je </w:t>
      </w:r>
      <w:r w:rsidR="00900F3E" w:rsidRPr="00EF21AC">
        <w:rPr>
          <w:lang w:val="sr-Latn-RS"/>
        </w:rPr>
        <w:t xml:space="preserve">oblast </w:t>
      </w:r>
      <w:r w:rsidRPr="00EF21AC">
        <w:rPr>
          <w:lang w:val="sr-Latn-RS"/>
        </w:rPr>
        <w:t xml:space="preserve">operacionih istraživanja i bavi se problemima u kojima </w:t>
      </w:r>
      <w:r w:rsidR="00900F3E" w:rsidRPr="00EF21AC">
        <w:rPr>
          <w:lang w:val="sr-Latn-RS"/>
        </w:rPr>
        <w:t xml:space="preserve">je </w:t>
      </w:r>
      <w:r w:rsidRPr="00EF21AC">
        <w:rPr>
          <w:lang w:val="sr-Latn-RS"/>
        </w:rPr>
        <w:t xml:space="preserve">pri definisanju odluke </w:t>
      </w:r>
      <w:r w:rsidR="00370770" w:rsidRPr="00EF21AC">
        <w:rPr>
          <w:lang w:val="sr-Latn-RS"/>
        </w:rPr>
        <w:t xml:space="preserve">prisutno </w:t>
      </w:r>
      <w:r w:rsidRPr="00EF21AC">
        <w:rPr>
          <w:lang w:val="sr-Latn-RS"/>
        </w:rPr>
        <w:t>suoč</w:t>
      </w:r>
      <w:r w:rsidR="00370770" w:rsidRPr="00EF21AC">
        <w:rPr>
          <w:lang w:val="sr-Latn-RS"/>
        </w:rPr>
        <w:t>avanje</w:t>
      </w:r>
      <w:r w:rsidRPr="00EF21AC">
        <w:rPr>
          <w:lang w:val="sr-Latn-RS"/>
        </w:rPr>
        <w:t xml:space="preserve"> sa većim brojem, najčešće supro</w:t>
      </w:r>
      <w:r w:rsidR="00370770" w:rsidRPr="00EF21AC">
        <w:rPr>
          <w:lang w:val="sr-Latn-RS"/>
        </w:rPr>
        <w:t>t</w:t>
      </w:r>
      <w:r w:rsidRPr="00EF21AC">
        <w:rPr>
          <w:lang w:val="sr-Latn-RS"/>
        </w:rPr>
        <w:t>stavljenih kriterijuma</w:t>
      </w:r>
      <w:r w:rsidR="004E043C">
        <w:rPr>
          <w:lang w:val="sr-Latn-RS"/>
        </w:rPr>
        <w:t xml:space="preserve"> [6.7]</w:t>
      </w:r>
      <w:r w:rsidRPr="00900F3E">
        <w:rPr>
          <w:lang w:val="sr-Latn-RS"/>
        </w:rPr>
        <w:t>. U VKO svi faktori koji utiču na odluku posmatraju se kao kriterijumi čije vrednosti treba da budu optimalne.</w:t>
      </w:r>
      <w:r w:rsidR="00EF21AC">
        <w:rPr>
          <w:lang w:val="sr-Latn-RS"/>
        </w:rPr>
        <w:t xml:space="preserve"> </w:t>
      </w:r>
      <w:r w:rsidRPr="00900F3E">
        <w:rPr>
          <w:lang w:val="sr-Latn-RS"/>
        </w:rPr>
        <w:t>Za primenu višekriterijumskog odlučivanja postoji više različitih metoda:</w:t>
      </w:r>
    </w:p>
    <w:p w14:paraId="5E716E50" w14:textId="77777777" w:rsidR="00B457A6" w:rsidRPr="00543EDD" w:rsidRDefault="00B457A6" w:rsidP="00B457A6">
      <w:pPr>
        <w:pStyle w:val="ListContinue2"/>
        <w:numPr>
          <w:ilvl w:val="0"/>
          <w:numId w:val="3"/>
        </w:numPr>
        <w:spacing w:line="276" w:lineRule="auto"/>
        <w:rPr>
          <w:lang w:val="sr-Latn-RS"/>
        </w:rPr>
      </w:pPr>
      <w:r w:rsidRPr="00543EDD">
        <w:rPr>
          <w:bCs/>
          <w:i/>
        </w:rPr>
        <w:t>PROMETHEE</w:t>
      </w:r>
      <w:r w:rsidRPr="00543EDD">
        <w:rPr>
          <w:bCs/>
        </w:rPr>
        <w:t xml:space="preserve"> metoda</w:t>
      </w:r>
      <w:r w:rsidRPr="00543EDD">
        <w:rPr>
          <w:bCs/>
          <w:lang w:val="sr-Latn-RS"/>
        </w:rPr>
        <w:t>,</w:t>
      </w:r>
    </w:p>
    <w:p w14:paraId="40A1D49F" w14:textId="77777777" w:rsidR="00B457A6" w:rsidRPr="00543EDD" w:rsidRDefault="00B457A6" w:rsidP="00B457A6">
      <w:pPr>
        <w:pStyle w:val="ListContinue2"/>
        <w:numPr>
          <w:ilvl w:val="0"/>
          <w:numId w:val="3"/>
        </w:numPr>
        <w:rPr>
          <w:lang w:val="sr-Latn-RS"/>
        </w:rPr>
      </w:pPr>
      <w:r w:rsidRPr="00543EDD">
        <w:rPr>
          <w:bCs/>
          <w:i/>
        </w:rPr>
        <w:t>VIKOR</w:t>
      </w:r>
      <w:r w:rsidRPr="00543EDD">
        <w:rPr>
          <w:bCs/>
        </w:rPr>
        <w:t xml:space="preserve"> metoda</w:t>
      </w:r>
      <w:r w:rsidRPr="00543EDD">
        <w:rPr>
          <w:bCs/>
          <w:lang w:val="sr-Latn-RS"/>
        </w:rPr>
        <w:t>,</w:t>
      </w:r>
    </w:p>
    <w:p w14:paraId="1B669E46" w14:textId="77777777" w:rsidR="00B457A6" w:rsidRPr="00543EDD" w:rsidRDefault="00B457A6" w:rsidP="00B457A6">
      <w:pPr>
        <w:pStyle w:val="ListContinue2"/>
        <w:numPr>
          <w:ilvl w:val="0"/>
          <w:numId w:val="3"/>
        </w:numPr>
        <w:spacing w:line="276" w:lineRule="auto"/>
        <w:rPr>
          <w:lang w:val="sr-Latn-RS"/>
        </w:rPr>
      </w:pPr>
      <w:r w:rsidRPr="00543EDD">
        <w:rPr>
          <w:bCs/>
          <w:i/>
          <w:lang w:val="sr-Latn-RS"/>
        </w:rPr>
        <w:t>TOPSIS</w:t>
      </w:r>
      <w:r w:rsidRPr="00543EDD">
        <w:rPr>
          <w:bCs/>
          <w:lang w:val="sr-Latn-RS"/>
        </w:rPr>
        <w:t xml:space="preserve"> metoda,</w:t>
      </w:r>
    </w:p>
    <w:p w14:paraId="4AD293FC" w14:textId="77777777" w:rsidR="00B457A6" w:rsidRPr="00543EDD" w:rsidRDefault="00B457A6" w:rsidP="00B457A6">
      <w:pPr>
        <w:pStyle w:val="ListContinue2"/>
        <w:numPr>
          <w:ilvl w:val="0"/>
          <w:numId w:val="3"/>
        </w:numPr>
        <w:spacing w:line="276" w:lineRule="auto"/>
        <w:rPr>
          <w:lang w:val="sr-Latn-RS"/>
        </w:rPr>
      </w:pPr>
      <w:r w:rsidRPr="00543EDD">
        <w:rPr>
          <w:bCs/>
          <w:i/>
          <w:lang w:val="sr-Latn-RS"/>
        </w:rPr>
        <w:t>ELECTRE</w:t>
      </w:r>
      <w:r w:rsidRPr="00543EDD">
        <w:rPr>
          <w:bCs/>
          <w:lang w:val="sr-Latn-RS"/>
        </w:rPr>
        <w:t xml:space="preserve"> metoda i </w:t>
      </w:r>
    </w:p>
    <w:p w14:paraId="0B83F900" w14:textId="77777777" w:rsidR="00B457A6" w:rsidRPr="00543EDD" w:rsidRDefault="00B457A6" w:rsidP="00B457A6">
      <w:pPr>
        <w:pStyle w:val="ListContinue2"/>
        <w:numPr>
          <w:ilvl w:val="0"/>
          <w:numId w:val="3"/>
        </w:numPr>
        <w:spacing w:after="200" w:line="276" w:lineRule="auto"/>
        <w:ind w:left="714" w:hanging="357"/>
        <w:contextualSpacing w:val="0"/>
        <w:rPr>
          <w:lang w:val="sr-Latn-RS"/>
        </w:rPr>
      </w:pPr>
      <w:r w:rsidRPr="00543EDD">
        <w:rPr>
          <w:bCs/>
          <w:i/>
          <w:lang w:val="sr-Latn-RS"/>
        </w:rPr>
        <w:t>AHP</w:t>
      </w:r>
      <w:r w:rsidRPr="00543EDD">
        <w:rPr>
          <w:bCs/>
          <w:lang w:val="sr-Latn-RS"/>
        </w:rPr>
        <w:t xml:space="preserve"> metoda.</w:t>
      </w:r>
    </w:p>
    <w:p w14:paraId="60F42F4B" w14:textId="77777777" w:rsidR="00B457A6" w:rsidRPr="00543EDD" w:rsidRDefault="00B457A6" w:rsidP="00AF3EC7">
      <w:pPr>
        <w:pStyle w:val="ListContinue2"/>
        <w:spacing w:after="300"/>
        <w:ind w:left="0"/>
        <w:contextualSpacing w:val="0"/>
        <w:rPr>
          <w:lang w:val="sr-Latn-RS"/>
        </w:rPr>
      </w:pPr>
      <w:r w:rsidRPr="00543EDD">
        <w:rPr>
          <w:lang w:val="sr-Latn-RS"/>
        </w:rPr>
        <w:t>Za analizu eksploatacionih učinaka ugljenih sistema korišćene su dve metod</w:t>
      </w:r>
      <w:r w:rsidR="00543EDD" w:rsidRPr="00543EDD">
        <w:rPr>
          <w:lang w:val="sr-Latn-RS"/>
        </w:rPr>
        <w:t>e</w:t>
      </w:r>
      <w:r w:rsidRPr="00543EDD">
        <w:rPr>
          <w:lang w:val="sr-Latn-RS"/>
        </w:rPr>
        <w:t xml:space="preserve">, </w:t>
      </w:r>
      <w:r w:rsidRPr="00543EDD">
        <w:rPr>
          <w:bCs/>
          <w:i/>
        </w:rPr>
        <w:t>VIKOR</w:t>
      </w:r>
      <w:r w:rsidR="00543EDD" w:rsidRPr="00543EDD">
        <w:rPr>
          <w:bCs/>
        </w:rPr>
        <w:t xml:space="preserve"> </w:t>
      </w:r>
      <w:r w:rsidRPr="00543EDD">
        <w:rPr>
          <w:bCs/>
          <w:lang w:val="sr-Latn-RS"/>
        </w:rPr>
        <w:t xml:space="preserve">i </w:t>
      </w:r>
      <w:r w:rsidRPr="00543EDD">
        <w:rPr>
          <w:bCs/>
          <w:i/>
          <w:lang w:val="sr-Latn-RS"/>
        </w:rPr>
        <w:t>TOPSIS</w:t>
      </w:r>
      <w:r w:rsidRPr="00543EDD">
        <w:rPr>
          <w:bCs/>
          <w:lang w:val="sr-Latn-RS"/>
        </w:rPr>
        <w:t xml:space="preserve"> metoda.</w:t>
      </w:r>
    </w:p>
    <w:p w14:paraId="12C7363A" w14:textId="77777777" w:rsidR="00B457A6" w:rsidRPr="00543EDD" w:rsidRDefault="00B457A6" w:rsidP="00B457A6">
      <w:pPr>
        <w:pStyle w:val="Heading2"/>
        <w:rPr>
          <w:sz w:val="24"/>
          <w:szCs w:val="24"/>
          <w:lang w:val="sr-Latn-RS"/>
        </w:rPr>
      </w:pPr>
      <w:r w:rsidRPr="00543EDD">
        <w:rPr>
          <w:sz w:val="24"/>
          <w:szCs w:val="24"/>
          <w:lang w:val="sr-Latn-RS"/>
        </w:rPr>
        <w:t xml:space="preserve">3.1 </w:t>
      </w:r>
      <w:r w:rsidRPr="00543EDD">
        <w:rPr>
          <w:sz w:val="24"/>
          <w:szCs w:val="24"/>
        </w:rPr>
        <w:t>VIKOR metoda</w:t>
      </w:r>
    </w:p>
    <w:p w14:paraId="7F780AB6" w14:textId="4F7DDFEB" w:rsidR="00B457A6" w:rsidRPr="00B55700" w:rsidRDefault="00B457A6" w:rsidP="00B457A6">
      <w:pPr>
        <w:rPr>
          <w:szCs w:val="24"/>
          <w:lang w:val="sr-Latn-RS"/>
        </w:rPr>
      </w:pPr>
      <w:r w:rsidRPr="00B55700">
        <w:rPr>
          <w:szCs w:val="24"/>
          <w:lang w:val="sr-Latn-RS"/>
        </w:rPr>
        <w:t xml:space="preserve">Metodu </w:t>
      </w:r>
      <w:r w:rsidRPr="00B55700">
        <w:rPr>
          <w:i/>
          <w:szCs w:val="24"/>
          <w:lang w:val="sr-Latn-RS"/>
        </w:rPr>
        <w:t>VIKOR</w:t>
      </w:r>
      <w:r w:rsidRPr="00B55700">
        <w:rPr>
          <w:szCs w:val="24"/>
          <w:lang w:val="sr-Latn-RS"/>
        </w:rPr>
        <w:t xml:space="preserve"> razvio je Serafim Opricović, za potrebe rešavanja problema u odlučivanju prilikom razmatranja konfliktnih i raznorodnih kriterijuma koji utiču na donošenje odluke. Metoda se zasniva na pretpostavci da je kompromis prihvatljiv za rešavanje konflikta, da donosilac odluke želi rešenje koje je najbliže idealnom i da su alternative vrednovane prema svim postavljenim kriterijumima. Razvijena je na takvim osnovama da se donosiocu odluke predlažu alternative koje predstavljaju kompromis između želja i mogućnosti ili kompromis između različitih interesa učesnika u odlučivanju. Kompromisno rešenje je rešenje koje je najbliže idealnom slučaju</w:t>
      </w:r>
      <w:r w:rsidR="001212D0">
        <w:rPr>
          <w:szCs w:val="24"/>
          <w:lang w:val="sr-Latn-RS"/>
        </w:rPr>
        <w:t xml:space="preserve"> </w:t>
      </w:r>
      <w:r w:rsidR="001212D0">
        <w:rPr>
          <w:rFonts w:cs="Times New Roman"/>
          <w:szCs w:val="24"/>
          <w:lang w:val="sr-Latn-RS"/>
        </w:rPr>
        <w:t>[8]</w:t>
      </w:r>
      <w:r w:rsidRPr="00B55700">
        <w:rPr>
          <w:szCs w:val="24"/>
          <w:lang w:val="sr-Latn-RS"/>
        </w:rPr>
        <w:t>. Matematički proračun metode započinje se formiranjem matrice odlučivanja</w:t>
      </w:r>
      <w:r w:rsidR="001212D0">
        <w:rPr>
          <w:szCs w:val="24"/>
          <w:lang w:val="sr-Latn-RS"/>
        </w:rPr>
        <w:t xml:space="preserve"> </w:t>
      </w:r>
      <w:r w:rsidR="001212D0">
        <w:rPr>
          <w:rFonts w:cs="Times New Roman"/>
          <w:szCs w:val="24"/>
          <w:lang w:val="sr-Latn-RS"/>
        </w:rPr>
        <w:t>[9]</w:t>
      </w:r>
      <w:r w:rsidRPr="00B55700">
        <w:rPr>
          <w:szCs w:val="24"/>
          <w:lang w:val="sr-Latn-RS"/>
        </w:rPr>
        <w:t>:</w:t>
      </w:r>
    </w:p>
    <w:p w14:paraId="3B3FD86F" w14:textId="77777777" w:rsidR="00B457A6" w:rsidRPr="00543EDD" w:rsidRDefault="00AF3EC7" w:rsidP="00AF3EC7">
      <w:pPr>
        <w:rPr>
          <w:szCs w:val="24"/>
        </w:rPr>
      </w:pPr>
      <w:r>
        <w:rPr>
          <w:rFonts w:eastAsiaTheme="minorEastAsia"/>
          <w:i/>
          <w:position w:val="-26"/>
          <w:szCs w:val="24"/>
        </w:rPr>
        <w:tab/>
      </w:r>
      <w:r>
        <w:rPr>
          <w:rFonts w:eastAsiaTheme="minorEastAsia"/>
          <w:i/>
          <w:position w:val="-26"/>
          <w:szCs w:val="24"/>
        </w:rPr>
        <w:tab/>
      </w:r>
      <w:r>
        <w:rPr>
          <w:rFonts w:eastAsiaTheme="minorEastAsia"/>
          <w:i/>
          <w:position w:val="-26"/>
          <w:szCs w:val="24"/>
        </w:rPr>
        <w:tab/>
      </w:r>
      <w:r>
        <w:rPr>
          <w:rFonts w:eastAsiaTheme="minorEastAsia"/>
          <w:i/>
          <w:position w:val="-26"/>
          <w:szCs w:val="24"/>
        </w:rPr>
        <w:tab/>
      </w:r>
      <w:r>
        <w:rPr>
          <w:rFonts w:eastAsiaTheme="minorEastAsia"/>
          <w:i/>
          <w:position w:val="-26"/>
          <w:szCs w:val="24"/>
        </w:rPr>
        <w:tab/>
      </w:r>
      <w:r w:rsidR="00B457A6" w:rsidRPr="00543EDD">
        <w:rPr>
          <w:rFonts w:eastAsiaTheme="minorEastAsia"/>
          <w:i/>
          <w:position w:val="-26"/>
          <w:szCs w:val="24"/>
        </w:rPr>
        <w:object w:dxaOrig="1460" w:dyaOrig="620" w14:anchorId="4955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9.25pt" o:ole="">
            <v:imagedata r:id="rId14" o:title=""/>
          </v:shape>
          <o:OLEObject Type="Embed" ProgID="Equation.DSMT4" ShapeID="_x0000_i1025" DrawAspect="Content" ObjectID="_1694958215" r:id="rId15"/>
        </w:object>
      </w:r>
    </w:p>
    <w:p w14:paraId="1B5EFEF5" w14:textId="77777777" w:rsidR="00AF3EC7" w:rsidRPr="005157E4" w:rsidRDefault="00B457A6" w:rsidP="005157E4">
      <w:pPr>
        <w:ind w:left="2124" w:firstLine="708"/>
        <w:jc w:val="center"/>
        <w:rPr>
          <w:rFonts w:eastAsiaTheme="minorEastAsia"/>
          <w:szCs w:val="24"/>
        </w:rPr>
      </w:pPr>
      <w:r w:rsidRPr="00543EDD">
        <w:rPr>
          <w:rFonts w:eastAsiaTheme="minorEastAsia"/>
          <w:i/>
          <w:position w:val="-56"/>
          <w:szCs w:val="24"/>
        </w:rPr>
        <w:object w:dxaOrig="2500" w:dyaOrig="1219" w14:anchorId="67BB2298">
          <v:shape id="_x0000_i1026" type="#_x0000_t75" style="width:114.75pt;height:57pt" o:ole="">
            <v:imagedata r:id="rId16" o:title=""/>
          </v:shape>
          <o:OLEObject Type="Embed" ProgID="Equation.DSMT4" ShapeID="_x0000_i1026" DrawAspect="Content" ObjectID="_1694958216" r:id="rId17"/>
        </w:object>
      </w:r>
      <w:r w:rsidRPr="00543EDD">
        <w:rPr>
          <w:rFonts w:eastAsiaTheme="minorEastAsia"/>
          <w:i/>
          <w:szCs w:val="24"/>
        </w:rPr>
        <w:tab/>
        <w:t xml:space="preserve">    </w: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  <w:lang w:val="sr-Latn-RS"/>
        </w:rPr>
        <w:t xml:space="preserve">           </w: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szCs w:val="24"/>
        </w:rPr>
        <w:t>(</w:t>
      </w:r>
      <w:r w:rsidRPr="00543EDD">
        <w:rPr>
          <w:rFonts w:eastAsiaTheme="minorEastAsia"/>
          <w:szCs w:val="24"/>
          <w:lang w:val="sr-Latn-RS"/>
        </w:rPr>
        <w:t>1</w:t>
      </w:r>
      <w:r w:rsidRPr="00543EDD">
        <w:rPr>
          <w:rFonts w:eastAsiaTheme="minorEastAsia"/>
          <w:szCs w:val="24"/>
        </w:rPr>
        <w:t>)</w:t>
      </w:r>
    </w:p>
    <w:p w14:paraId="2667AE4F" w14:textId="77777777" w:rsidR="00B457A6" w:rsidRPr="00543EDD" w:rsidRDefault="00B457A6" w:rsidP="00B457A6">
      <w:pPr>
        <w:rPr>
          <w:szCs w:val="24"/>
        </w:rPr>
      </w:pPr>
      <w:r w:rsidRPr="00543EDD">
        <w:rPr>
          <w:szCs w:val="24"/>
        </w:rPr>
        <w:t xml:space="preserve">- Određivanje najveće </w:t>
      </w:r>
      <w:bookmarkStart w:id="0" w:name="_Hlk535105151"/>
      <w:r w:rsidRPr="00543EDD">
        <w:rPr>
          <w:szCs w:val="24"/>
        </w:rPr>
        <w:t>(</w:t>
      </w:r>
      <w:bookmarkEnd w:id="0"/>
      <w:r w:rsidRPr="00543EDD">
        <w:rPr>
          <w:i/>
          <w:szCs w:val="24"/>
        </w:rPr>
        <w:t>x</w:t>
      </w:r>
      <w:r w:rsidRPr="00543EDD">
        <w:rPr>
          <w:szCs w:val="24"/>
          <w:vertAlign w:val="subscript"/>
        </w:rPr>
        <w:t>i</w:t>
      </w:r>
      <w:r w:rsidRPr="00543EDD">
        <w:rPr>
          <w:szCs w:val="24"/>
          <w:vertAlign w:val="superscript"/>
        </w:rPr>
        <w:t>*</w:t>
      </w:r>
      <w:r w:rsidRPr="00543EDD">
        <w:rPr>
          <w:szCs w:val="24"/>
        </w:rPr>
        <w:t>) i najmanje (</w:t>
      </w:r>
      <w:r w:rsidRPr="00543EDD">
        <w:rPr>
          <w:i/>
          <w:szCs w:val="24"/>
        </w:rPr>
        <w:t>x</w:t>
      </w:r>
      <w:r w:rsidRPr="00543EDD">
        <w:rPr>
          <w:szCs w:val="24"/>
          <w:vertAlign w:val="subscript"/>
        </w:rPr>
        <w:t>i</w:t>
      </w:r>
      <w:r w:rsidRPr="00543EDD">
        <w:rPr>
          <w:szCs w:val="24"/>
          <w:vertAlign w:val="superscript"/>
        </w:rPr>
        <w:t>-</w:t>
      </w:r>
      <w:r w:rsidRPr="00543EDD">
        <w:rPr>
          <w:szCs w:val="24"/>
        </w:rPr>
        <w:t xml:space="preserve">) vrednosti datog kriterijuma. </w:t>
      </w:r>
    </w:p>
    <w:p w14:paraId="7296D41A" w14:textId="77777777" w:rsidR="00B457A6" w:rsidRPr="00543EDD" w:rsidRDefault="00B457A6" w:rsidP="00727198">
      <w:pPr>
        <w:ind w:left="3600"/>
        <w:rPr>
          <w:rFonts w:eastAsiaTheme="minorEastAsia"/>
          <w:i/>
          <w:szCs w:val="24"/>
        </w:rPr>
      </w:pPr>
      <w:r w:rsidRPr="00543EDD">
        <w:rPr>
          <w:rFonts w:eastAsiaTheme="minorEastAsia"/>
          <w:i/>
          <w:position w:val="-46"/>
          <w:szCs w:val="24"/>
        </w:rPr>
        <w:object w:dxaOrig="1100" w:dyaOrig="1040" w14:anchorId="112B20AD">
          <v:shape id="_x0000_i1027" type="#_x0000_t75" style="width:51pt;height:51pt" o:ole="">
            <v:imagedata r:id="rId18" o:title=""/>
          </v:shape>
          <o:OLEObject Type="Embed" ProgID="Equation.DSMT4" ShapeID="_x0000_i1027" DrawAspect="Content" ObjectID="_1694958217" r:id="rId19"/>
        </w:objec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  <w:lang w:val="sr-Latn-RS"/>
        </w:rPr>
        <w:t xml:space="preserve">             </w:t>
      </w:r>
      <w:r w:rsidR="00727198">
        <w:rPr>
          <w:rFonts w:eastAsiaTheme="minorEastAsia"/>
          <w:i/>
          <w:szCs w:val="24"/>
          <w:lang w:val="sr-Latn-RS"/>
        </w:rPr>
        <w:t xml:space="preserve">            </w:t>
      </w:r>
      <w:r w:rsidRPr="00543EDD">
        <w:rPr>
          <w:rFonts w:eastAsiaTheme="minorEastAsia"/>
          <w:szCs w:val="24"/>
        </w:rPr>
        <w:t>(</w:t>
      </w:r>
      <w:r w:rsidRPr="00543EDD">
        <w:rPr>
          <w:rFonts w:eastAsiaTheme="minorEastAsia"/>
          <w:szCs w:val="24"/>
          <w:lang w:val="sr-Latn-RS"/>
        </w:rPr>
        <w:t>2</w:t>
      </w:r>
      <w:r w:rsidRPr="00543EDD">
        <w:rPr>
          <w:rFonts w:eastAsiaTheme="minorEastAsia"/>
          <w:szCs w:val="24"/>
        </w:rPr>
        <w:t>)</w:t>
      </w:r>
    </w:p>
    <w:p w14:paraId="1F53ED9F" w14:textId="77777777" w:rsidR="005157E4" w:rsidRDefault="005157E4" w:rsidP="00B457A6">
      <w:pPr>
        <w:rPr>
          <w:szCs w:val="24"/>
        </w:rPr>
      </w:pPr>
    </w:p>
    <w:p w14:paraId="71CFB01F" w14:textId="77777777" w:rsidR="005157E4" w:rsidRDefault="005157E4" w:rsidP="00B457A6">
      <w:pPr>
        <w:rPr>
          <w:szCs w:val="24"/>
        </w:rPr>
      </w:pPr>
    </w:p>
    <w:p w14:paraId="47A47A6A" w14:textId="77777777" w:rsidR="00B457A6" w:rsidRPr="00543EDD" w:rsidRDefault="00B457A6" w:rsidP="00B457A6">
      <w:pPr>
        <w:rPr>
          <w:szCs w:val="24"/>
        </w:rPr>
      </w:pPr>
      <w:r w:rsidRPr="00543EDD">
        <w:rPr>
          <w:szCs w:val="24"/>
        </w:rPr>
        <w:lastRenderedPageBreak/>
        <w:t xml:space="preserve">- Računanje vrednosti </w:t>
      </w:r>
      <w:r w:rsidRPr="00543EDD">
        <w:rPr>
          <w:i/>
          <w:szCs w:val="24"/>
        </w:rPr>
        <w:t>S</w:t>
      </w:r>
      <w:r w:rsidRPr="005157E4">
        <w:rPr>
          <w:i/>
          <w:szCs w:val="24"/>
          <w:vertAlign w:val="subscript"/>
        </w:rPr>
        <w:t>j</w:t>
      </w:r>
      <w:r w:rsidRPr="00543EDD">
        <w:rPr>
          <w:szCs w:val="24"/>
        </w:rPr>
        <w:t xml:space="preserve"> pesimističkog rešenja i </w:t>
      </w:r>
      <w:r w:rsidRPr="00543EDD">
        <w:rPr>
          <w:i/>
          <w:szCs w:val="24"/>
        </w:rPr>
        <w:t>R</w:t>
      </w:r>
      <w:r w:rsidRPr="0054333C">
        <w:rPr>
          <w:i/>
          <w:szCs w:val="24"/>
          <w:vertAlign w:val="subscript"/>
        </w:rPr>
        <w:t>j</w:t>
      </w:r>
      <w:r w:rsidRPr="00543EDD">
        <w:rPr>
          <w:szCs w:val="24"/>
        </w:rPr>
        <w:t xml:space="preserve"> očekivanog rešenja. </w:t>
      </w:r>
    </w:p>
    <w:p w14:paraId="0BF916BE" w14:textId="77777777" w:rsidR="00B457A6" w:rsidRPr="00543EDD" w:rsidRDefault="00B457A6" w:rsidP="00B457A6">
      <w:pPr>
        <w:spacing w:after="40"/>
        <w:ind w:left="2829"/>
        <w:rPr>
          <w:rFonts w:eastAsiaTheme="minorEastAsia"/>
          <w:i/>
          <w:szCs w:val="24"/>
        </w:rPr>
      </w:pPr>
      <w:r w:rsidRPr="00543EDD">
        <w:rPr>
          <w:rFonts w:eastAsiaTheme="minorEastAsia"/>
          <w:i/>
          <w:position w:val="-68"/>
          <w:szCs w:val="24"/>
        </w:rPr>
        <w:object w:dxaOrig="3100" w:dyaOrig="1460" w14:anchorId="3E913F33">
          <v:shape id="_x0000_i1028" type="#_x0000_t75" style="width:138pt;height:66pt" o:ole="">
            <v:imagedata r:id="rId20" o:title=""/>
          </v:shape>
          <o:OLEObject Type="Embed" ProgID="Equation.DSMT4" ShapeID="_x0000_i1028" DrawAspect="Content" ObjectID="_1694958218" r:id="rId21"/>
        </w:objec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  <w:lang w:val="sr-Latn-RS"/>
        </w:rPr>
        <w:t xml:space="preserve"> </w:t>
      </w:r>
      <w:r w:rsidRPr="00543EDD">
        <w:rPr>
          <w:rFonts w:eastAsiaTheme="minorEastAsia"/>
          <w:szCs w:val="24"/>
        </w:rPr>
        <w:t>(</w:t>
      </w:r>
      <w:r w:rsidRPr="00543EDD">
        <w:rPr>
          <w:rFonts w:eastAsiaTheme="minorEastAsia"/>
          <w:szCs w:val="24"/>
          <w:lang w:val="sr-Latn-RS"/>
        </w:rPr>
        <w:t>3</w:t>
      </w:r>
      <w:r w:rsidRPr="00543EDD">
        <w:rPr>
          <w:rFonts w:eastAsiaTheme="minorEastAsia"/>
          <w:szCs w:val="24"/>
        </w:rPr>
        <w:t>)</w:t>
      </w:r>
    </w:p>
    <w:p w14:paraId="6DEA2F84" w14:textId="77777777" w:rsidR="00543EDD" w:rsidRDefault="00543EDD" w:rsidP="00543EDD">
      <w:pPr>
        <w:spacing w:before="60" w:after="40"/>
        <w:rPr>
          <w:szCs w:val="24"/>
        </w:rPr>
      </w:pPr>
      <w:r>
        <w:rPr>
          <w:szCs w:val="24"/>
        </w:rPr>
        <w:t>gde je:</w:t>
      </w:r>
    </w:p>
    <w:p w14:paraId="4C2DD982" w14:textId="77777777" w:rsidR="00B457A6" w:rsidRPr="00543EDD" w:rsidRDefault="00B457A6" w:rsidP="00B457A6">
      <w:pPr>
        <w:spacing w:before="60"/>
        <w:rPr>
          <w:szCs w:val="24"/>
        </w:rPr>
      </w:pPr>
      <w:r w:rsidRPr="00543EDD">
        <w:rPr>
          <w:i/>
          <w:szCs w:val="24"/>
        </w:rPr>
        <w:t>w</w:t>
      </w:r>
      <w:r w:rsidRPr="000D03EC">
        <w:rPr>
          <w:i/>
          <w:szCs w:val="24"/>
          <w:vertAlign w:val="subscript"/>
        </w:rPr>
        <w:t>i</w:t>
      </w:r>
      <w:r w:rsidRPr="00543EDD">
        <w:rPr>
          <w:szCs w:val="24"/>
        </w:rPr>
        <w:t xml:space="preserve"> – težina kriterijuma.</w:t>
      </w:r>
    </w:p>
    <w:p w14:paraId="15FE2220" w14:textId="77777777" w:rsidR="00B457A6" w:rsidRPr="00543EDD" w:rsidRDefault="00B457A6" w:rsidP="00B457A6">
      <w:pPr>
        <w:spacing w:before="120"/>
        <w:rPr>
          <w:szCs w:val="24"/>
        </w:rPr>
      </w:pPr>
      <w:r w:rsidRPr="00543EDD">
        <w:rPr>
          <w:szCs w:val="24"/>
        </w:rPr>
        <w:t xml:space="preserve">- Računanje vrednosti za </w:t>
      </w:r>
      <w:r w:rsidRPr="00543EDD">
        <w:rPr>
          <w:i/>
          <w:szCs w:val="24"/>
        </w:rPr>
        <w:t>Q</w:t>
      </w:r>
      <w:r w:rsidRPr="005157E4">
        <w:rPr>
          <w:i/>
          <w:szCs w:val="24"/>
          <w:vertAlign w:val="subscript"/>
        </w:rPr>
        <w:t>j</w:t>
      </w:r>
      <w:r w:rsidRPr="00543EDD">
        <w:rPr>
          <w:szCs w:val="24"/>
        </w:rPr>
        <w:t xml:space="preserve"> (kompromisno rešenje).</w:t>
      </w:r>
    </w:p>
    <w:p w14:paraId="516FED8E" w14:textId="77777777" w:rsidR="00B457A6" w:rsidRPr="00543EDD" w:rsidRDefault="00B457A6" w:rsidP="00B457A6">
      <w:pPr>
        <w:spacing w:before="120" w:after="40"/>
        <w:ind w:left="1418" w:firstLine="709"/>
        <w:jc w:val="center"/>
        <w:rPr>
          <w:rFonts w:eastAsiaTheme="minorEastAsia"/>
          <w:i/>
          <w:szCs w:val="24"/>
        </w:rPr>
      </w:pPr>
      <w:r w:rsidRPr="00543EDD">
        <w:rPr>
          <w:rFonts w:eastAsiaTheme="minorEastAsia"/>
          <w:i/>
          <w:position w:val="-42"/>
          <w:szCs w:val="24"/>
        </w:rPr>
        <w:object w:dxaOrig="4700" w:dyaOrig="960" w14:anchorId="653263C3">
          <v:shape id="_x0000_i1029" type="#_x0000_t75" style="width:188.25pt;height:42.75pt" o:ole="">
            <v:imagedata r:id="rId22" o:title=""/>
          </v:shape>
          <o:OLEObject Type="Embed" ProgID="Equation.DSMT4" ShapeID="_x0000_i1029" DrawAspect="Content" ObjectID="_1694958219" r:id="rId23"/>
        </w:objec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  <w:lang w:val="sr-Latn-RS"/>
        </w:rPr>
        <w:t xml:space="preserve"> </w:t>
      </w:r>
      <w:r w:rsidRPr="00543EDD">
        <w:rPr>
          <w:rFonts w:eastAsiaTheme="minorEastAsia"/>
          <w:i/>
          <w:szCs w:val="24"/>
          <w:lang w:val="sr-Latn-RS"/>
        </w:rPr>
        <w:tab/>
      </w:r>
      <w:r w:rsidRPr="00543EDD">
        <w:rPr>
          <w:rFonts w:eastAsiaTheme="minorEastAsia"/>
          <w:i/>
          <w:szCs w:val="24"/>
          <w:lang w:val="sr-Latn-RS"/>
        </w:rPr>
        <w:tab/>
        <w:t xml:space="preserve">         </w:t>
      </w:r>
      <w:r w:rsidR="00543EDD">
        <w:rPr>
          <w:rFonts w:eastAsiaTheme="minorEastAsia"/>
          <w:i/>
          <w:szCs w:val="24"/>
          <w:lang w:val="sr-Latn-RS"/>
        </w:rPr>
        <w:t xml:space="preserve">   </w:t>
      </w:r>
      <w:r w:rsidRPr="00543EDD">
        <w:rPr>
          <w:rFonts w:eastAsiaTheme="minorEastAsia"/>
          <w:i/>
          <w:szCs w:val="24"/>
        </w:rPr>
        <w:t xml:space="preserve"> </w:t>
      </w:r>
      <w:r w:rsidRPr="00543EDD">
        <w:rPr>
          <w:rFonts w:eastAsiaTheme="minorEastAsia"/>
          <w:szCs w:val="24"/>
        </w:rPr>
        <w:t>(</w:t>
      </w:r>
      <w:r w:rsidRPr="00543EDD">
        <w:rPr>
          <w:rFonts w:eastAsiaTheme="minorEastAsia"/>
          <w:szCs w:val="24"/>
          <w:lang w:val="sr-Latn-RS"/>
        </w:rPr>
        <w:t>4</w:t>
      </w:r>
      <w:r w:rsidRPr="00543EDD">
        <w:rPr>
          <w:rFonts w:eastAsiaTheme="minorEastAsia"/>
          <w:szCs w:val="24"/>
        </w:rPr>
        <w:t>)</w:t>
      </w:r>
    </w:p>
    <w:p w14:paraId="4DF948D0" w14:textId="77777777" w:rsidR="00B457A6" w:rsidRPr="00543EDD" w:rsidRDefault="00B457A6" w:rsidP="00B457A6">
      <w:pPr>
        <w:rPr>
          <w:szCs w:val="24"/>
        </w:rPr>
      </w:pPr>
      <w:r w:rsidRPr="00543EDD">
        <w:rPr>
          <w:szCs w:val="24"/>
        </w:rPr>
        <w:t>gde je:</w:t>
      </w:r>
    </w:p>
    <w:p w14:paraId="6F6B2070" w14:textId="77777777" w:rsidR="00B457A6" w:rsidRPr="00543EDD" w:rsidRDefault="00B457A6" w:rsidP="00B457A6">
      <w:pPr>
        <w:spacing w:after="60"/>
        <w:ind w:left="2124" w:firstLine="708"/>
        <w:jc w:val="center"/>
        <w:rPr>
          <w:szCs w:val="24"/>
        </w:rPr>
      </w:pPr>
      <w:r w:rsidRPr="00543EDD">
        <w:rPr>
          <w:rFonts w:eastAsiaTheme="minorEastAsia"/>
          <w:i/>
          <w:position w:val="-46"/>
          <w:szCs w:val="24"/>
        </w:rPr>
        <w:object w:dxaOrig="2340" w:dyaOrig="1040" w14:anchorId="592A20AE">
          <v:shape id="_x0000_i1030" type="#_x0000_t75" style="width:108pt;height:51pt" o:ole="">
            <v:imagedata r:id="rId24" o:title=""/>
          </v:shape>
          <o:OLEObject Type="Embed" ProgID="Equation.DSMT4" ShapeID="_x0000_i1030" DrawAspect="Content" ObjectID="_1694958220" r:id="rId25"/>
        </w:objec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  <w:lang w:val="sr-Latn-RS"/>
        </w:rPr>
        <w:t xml:space="preserve">                         </w:t>
      </w:r>
      <w:r w:rsidRPr="00543EDD">
        <w:rPr>
          <w:rFonts w:eastAsiaTheme="minorEastAsia"/>
          <w:szCs w:val="24"/>
        </w:rPr>
        <w:t>(</w:t>
      </w:r>
      <w:r w:rsidRPr="00543EDD">
        <w:rPr>
          <w:rFonts w:eastAsiaTheme="minorEastAsia"/>
          <w:szCs w:val="24"/>
          <w:lang w:val="sr-Latn-RS"/>
        </w:rPr>
        <w:t>5</w:t>
      </w:r>
      <w:r w:rsidRPr="00543EDD">
        <w:rPr>
          <w:rFonts w:eastAsiaTheme="minorEastAsia"/>
          <w:szCs w:val="24"/>
        </w:rPr>
        <w:t>)</w:t>
      </w:r>
    </w:p>
    <w:p w14:paraId="7BC85076" w14:textId="77777777" w:rsidR="00B457A6" w:rsidRPr="00543EDD" w:rsidRDefault="00B457A6" w:rsidP="00AF3EC7">
      <w:pPr>
        <w:spacing w:after="300"/>
        <w:rPr>
          <w:szCs w:val="24"/>
        </w:rPr>
      </w:pPr>
      <w:r w:rsidRPr="00543EDD">
        <w:rPr>
          <w:szCs w:val="24"/>
        </w:rPr>
        <w:t xml:space="preserve">Rangiranje se izvodi sortiranjem alternativa prema merama </w:t>
      </w:r>
      <w:r w:rsidRPr="00E76052">
        <w:rPr>
          <w:i/>
          <w:szCs w:val="24"/>
        </w:rPr>
        <w:t>R</w:t>
      </w:r>
      <w:r w:rsidRPr="00E76052">
        <w:rPr>
          <w:i/>
          <w:szCs w:val="24"/>
          <w:vertAlign w:val="subscript"/>
        </w:rPr>
        <w:t>j</w:t>
      </w:r>
      <w:r w:rsidRPr="00E76052">
        <w:rPr>
          <w:i/>
          <w:szCs w:val="24"/>
        </w:rPr>
        <w:t>, S</w:t>
      </w:r>
      <w:r w:rsidRPr="00E76052">
        <w:rPr>
          <w:i/>
          <w:szCs w:val="24"/>
          <w:vertAlign w:val="subscript"/>
        </w:rPr>
        <w:t>j</w:t>
      </w:r>
      <w:r w:rsidRPr="00E76052">
        <w:rPr>
          <w:i/>
          <w:szCs w:val="24"/>
        </w:rPr>
        <w:t xml:space="preserve"> </w:t>
      </w:r>
      <w:r w:rsidRPr="00E76052">
        <w:rPr>
          <w:szCs w:val="24"/>
        </w:rPr>
        <w:t>i</w:t>
      </w:r>
      <w:r w:rsidRPr="00E76052">
        <w:rPr>
          <w:i/>
          <w:szCs w:val="24"/>
        </w:rPr>
        <w:t xml:space="preserve"> Q</w:t>
      </w:r>
      <w:r w:rsidRPr="00E76052">
        <w:rPr>
          <w:i/>
          <w:szCs w:val="24"/>
          <w:vertAlign w:val="subscript"/>
        </w:rPr>
        <w:t>j</w:t>
      </w:r>
      <w:r w:rsidRPr="00543EDD">
        <w:rPr>
          <w:szCs w:val="24"/>
        </w:rPr>
        <w:t xml:space="preserve">. </w:t>
      </w:r>
    </w:p>
    <w:p w14:paraId="4EC3AEBC" w14:textId="77777777" w:rsidR="00B457A6" w:rsidRPr="00543EDD" w:rsidRDefault="00B457A6" w:rsidP="00B457A6">
      <w:pPr>
        <w:pStyle w:val="Heading2"/>
        <w:spacing w:before="200"/>
        <w:rPr>
          <w:sz w:val="24"/>
          <w:szCs w:val="24"/>
          <w:lang w:val="sr-Latn-RS"/>
        </w:rPr>
      </w:pPr>
      <w:r w:rsidRPr="00543EDD">
        <w:rPr>
          <w:sz w:val="24"/>
          <w:szCs w:val="24"/>
          <w:lang w:val="sr-Latn-RS"/>
        </w:rPr>
        <w:t>3.2 TOPSIS metoda</w:t>
      </w:r>
    </w:p>
    <w:p w14:paraId="4413437B" w14:textId="3ED06464" w:rsidR="00B457A6" w:rsidRPr="00543EDD" w:rsidRDefault="00B457A6" w:rsidP="00B457A6">
      <w:pPr>
        <w:spacing w:before="120"/>
        <w:rPr>
          <w:szCs w:val="24"/>
          <w:lang w:val="sr-Latn-RS"/>
        </w:rPr>
      </w:pPr>
      <w:r w:rsidRPr="00543EDD">
        <w:rPr>
          <w:szCs w:val="24"/>
        </w:rPr>
        <w:t xml:space="preserve">Metoda </w:t>
      </w:r>
      <w:r w:rsidRPr="00543EDD">
        <w:rPr>
          <w:i/>
          <w:szCs w:val="24"/>
        </w:rPr>
        <w:t>TOPSIS</w:t>
      </w:r>
      <w:r w:rsidRPr="00543EDD">
        <w:rPr>
          <w:szCs w:val="24"/>
        </w:rPr>
        <w:t xml:space="preserve"> je zasnovana na konceptu da izabrana alternativa treba da ima najkraće rastojanje od idealnog rešenja</w:t>
      </w:r>
      <w:r w:rsidRPr="00543EDD">
        <w:rPr>
          <w:szCs w:val="24"/>
          <w:lang w:val="sr-Latn-RS"/>
        </w:rPr>
        <w:t>, kao</w:t>
      </w:r>
      <w:r w:rsidRPr="00543EDD">
        <w:rPr>
          <w:szCs w:val="24"/>
        </w:rPr>
        <w:t xml:space="preserve"> i najduže</w:t>
      </w:r>
      <w:r w:rsidRPr="00543EDD">
        <w:rPr>
          <w:szCs w:val="24"/>
          <w:lang w:val="sr-Latn-RS"/>
        </w:rPr>
        <w:t xml:space="preserve"> rastojanje</w:t>
      </w:r>
      <w:r w:rsidRPr="00543EDD">
        <w:rPr>
          <w:szCs w:val="24"/>
        </w:rPr>
        <w:t xml:space="preserve"> od anti</w:t>
      </w:r>
      <w:r w:rsidR="00B53845" w:rsidRPr="007A33B8">
        <w:rPr>
          <w:rFonts w:cs="Times New Roman"/>
          <w:spacing w:val="-2"/>
        </w:rPr>
        <w:t>–</w:t>
      </w:r>
      <w:r w:rsidRPr="00543EDD">
        <w:rPr>
          <w:szCs w:val="24"/>
        </w:rPr>
        <w:t xml:space="preserve">idealnog rešenja. To znači da je pozitivno </w:t>
      </w:r>
      <w:r w:rsidRPr="00543EDD">
        <w:rPr>
          <w:szCs w:val="24"/>
          <w:lang w:val="sr-Latn-RS"/>
        </w:rPr>
        <w:t>„</w:t>
      </w:r>
      <w:r w:rsidRPr="00543EDD">
        <w:rPr>
          <w:szCs w:val="24"/>
        </w:rPr>
        <w:t xml:space="preserve">idealno” rešenje sačinjeno od svih najboljih vrednosti koje se mogu dobiti iz razmatranih kriterijuma, dok je negativno </w:t>
      </w:r>
      <w:r w:rsidRPr="00543EDD">
        <w:rPr>
          <w:szCs w:val="24"/>
          <w:lang w:val="sr-Latn-RS"/>
        </w:rPr>
        <w:t>„</w:t>
      </w:r>
      <w:r w:rsidRPr="00543EDD">
        <w:rPr>
          <w:szCs w:val="24"/>
        </w:rPr>
        <w:t>idealno“ rešenje sačinjeno od svih negativnih vrednosti</w:t>
      </w:r>
      <w:r w:rsidR="001212D0">
        <w:rPr>
          <w:szCs w:val="24"/>
        </w:rPr>
        <w:t xml:space="preserve"> </w:t>
      </w:r>
      <w:r w:rsidR="001212D0">
        <w:rPr>
          <w:rFonts w:cs="Times New Roman"/>
          <w:szCs w:val="24"/>
        </w:rPr>
        <w:t>[10]</w:t>
      </w:r>
      <w:r w:rsidRPr="00543EDD">
        <w:rPr>
          <w:szCs w:val="24"/>
          <w:lang w:val="sr-Latn-RS"/>
        </w:rPr>
        <w:t xml:space="preserve">. </w:t>
      </w:r>
      <w:r w:rsidRPr="00543EDD">
        <w:rPr>
          <w:szCs w:val="24"/>
        </w:rPr>
        <w:t xml:space="preserve">Matematička interpretacija metode </w:t>
      </w:r>
      <w:r w:rsidRPr="00543EDD">
        <w:rPr>
          <w:i/>
          <w:szCs w:val="24"/>
        </w:rPr>
        <w:t>TOPSIS</w:t>
      </w:r>
      <w:r w:rsidRPr="00543EDD">
        <w:rPr>
          <w:szCs w:val="24"/>
        </w:rPr>
        <w:t xml:space="preserve"> započinje formiranjem matrice </w:t>
      </w:r>
      <w:r w:rsidRPr="00543EDD">
        <w:rPr>
          <w:i/>
          <w:szCs w:val="24"/>
        </w:rPr>
        <w:t>M</w:t>
      </w:r>
      <w:r w:rsidRPr="00543EDD">
        <w:rPr>
          <w:i/>
          <w:szCs w:val="24"/>
          <w:lang w:val="sr-Latn-RS"/>
        </w:rPr>
        <w:t>:</w:t>
      </w:r>
    </w:p>
    <w:p w14:paraId="32108FB7" w14:textId="77777777" w:rsidR="00B457A6" w:rsidRPr="00543EDD" w:rsidRDefault="00B457A6" w:rsidP="00B457A6">
      <w:pPr>
        <w:jc w:val="center"/>
        <w:rPr>
          <w:szCs w:val="24"/>
        </w:rPr>
      </w:pPr>
      <w:r w:rsidRPr="00543EDD">
        <w:rPr>
          <w:rFonts w:eastAsiaTheme="minorEastAsia"/>
          <w:i/>
          <w:szCs w:val="24"/>
        </w:rPr>
        <w:t xml:space="preserve">    </w:t>
      </w:r>
      <w:r w:rsidRPr="00543EDD">
        <w:rPr>
          <w:rFonts w:eastAsiaTheme="minorEastAsia"/>
          <w:i/>
          <w:position w:val="-10"/>
          <w:szCs w:val="24"/>
        </w:rPr>
        <w:object w:dxaOrig="1020" w:dyaOrig="300" w14:anchorId="4034A22E">
          <v:shape id="_x0000_i1031" type="#_x0000_t75" style="width:45pt;height:15pt" o:ole="">
            <v:imagedata r:id="rId26" o:title=""/>
          </v:shape>
          <o:OLEObject Type="Embed" ProgID="Equation.DSMT4" ShapeID="_x0000_i1031" DrawAspect="Content" ObjectID="_1694958221" r:id="rId27"/>
        </w:objec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</w:p>
    <w:p w14:paraId="406624A4" w14:textId="77777777" w:rsidR="00B457A6" w:rsidRPr="00543EDD" w:rsidRDefault="00B457A6" w:rsidP="00B457A6">
      <w:pPr>
        <w:ind w:left="2172" w:firstLine="708"/>
        <w:jc w:val="center"/>
        <w:rPr>
          <w:rFonts w:eastAsiaTheme="minorEastAsia"/>
          <w:szCs w:val="24"/>
        </w:rPr>
      </w:pPr>
      <w:r w:rsidRPr="00543EDD">
        <w:rPr>
          <w:rFonts w:eastAsiaTheme="minorEastAsia"/>
          <w:i/>
          <w:position w:val="-42"/>
          <w:szCs w:val="24"/>
        </w:rPr>
        <w:object w:dxaOrig="2120" w:dyaOrig="940" w14:anchorId="3E3E98ED">
          <v:shape id="_x0000_i1032" type="#_x0000_t75" style="width:93.75pt;height:45pt" o:ole="">
            <v:imagedata r:id="rId28" o:title=""/>
          </v:shape>
          <o:OLEObject Type="Embed" ProgID="Equation.DSMT4" ShapeID="_x0000_i1032" DrawAspect="Content" ObjectID="_1694958222" r:id="rId29"/>
        </w:object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  <w:t xml:space="preserve"> </w:t>
      </w:r>
      <w:r w:rsidRPr="00543EDD">
        <w:rPr>
          <w:rFonts w:eastAsiaTheme="minorEastAsia"/>
          <w:szCs w:val="24"/>
        </w:rPr>
        <w:t>(</w:t>
      </w:r>
      <w:r w:rsidRPr="00543EDD">
        <w:rPr>
          <w:rFonts w:eastAsiaTheme="minorEastAsia"/>
          <w:szCs w:val="24"/>
          <w:lang w:val="sr-Latn-RS"/>
        </w:rPr>
        <w:t>6</w:t>
      </w:r>
      <w:r w:rsidRPr="00543EDD">
        <w:rPr>
          <w:rFonts w:eastAsiaTheme="minorEastAsia"/>
          <w:szCs w:val="24"/>
        </w:rPr>
        <w:t>)</w:t>
      </w:r>
    </w:p>
    <w:p w14:paraId="29987428" w14:textId="77777777" w:rsidR="00B457A6" w:rsidRPr="00543EDD" w:rsidRDefault="00B457A6" w:rsidP="00B457A6">
      <w:pPr>
        <w:rPr>
          <w:rFonts w:eastAsiaTheme="minorEastAsia"/>
          <w:szCs w:val="24"/>
        </w:rPr>
      </w:pPr>
      <w:r w:rsidRPr="00543EDD">
        <w:rPr>
          <w:rFonts w:eastAsiaTheme="minorEastAsia"/>
          <w:szCs w:val="24"/>
        </w:rPr>
        <w:t xml:space="preserve">gde su: </w:t>
      </w:r>
      <w:r w:rsidRPr="00543EDD">
        <w:rPr>
          <w:rFonts w:eastAsiaTheme="minorEastAsia"/>
          <w:i/>
          <w:szCs w:val="24"/>
        </w:rPr>
        <w:t>A</w:t>
      </w:r>
      <w:r w:rsidRPr="00543EDD">
        <w:rPr>
          <w:rFonts w:eastAsiaTheme="minorEastAsia"/>
          <w:szCs w:val="24"/>
          <w:vertAlign w:val="subscript"/>
        </w:rPr>
        <w:t>1</w:t>
      </w:r>
      <w:r w:rsidRPr="00543EDD">
        <w:rPr>
          <w:rFonts w:eastAsiaTheme="minorEastAsia"/>
          <w:szCs w:val="24"/>
        </w:rPr>
        <w:t>,…,</w:t>
      </w:r>
      <w:r w:rsidRPr="00543EDD">
        <w:rPr>
          <w:rFonts w:eastAsiaTheme="minorEastAsia"/>
          <w:i/>
          <w:szCs w:val="24"/>
        </w:rPr>
        <w:t>A</w:t>
      </w:r>
      <w:r w:rsidRPr="00565439">
        <w:rPr>
          <w:rFonts w:eastAsiaTheme="minorEastAsia"/>
          <w:i/>
          <w:szCs w:val="24"/>
          <w:vertAlign w:val="subscript"/>
        </w:rPr>
        <w:t>m</w:t>
      </w:r>
      <w:r w:rsidRPr="00543EDD">
        <w:rPr>
          <w:rFonts w:eastAsiaTheme="minorEastAsia"/>
          <w:szCs w:val="24"/>
        </w:rPr>
        <w:t xml:space="preserve"> alternative, </w:t>
      </w:r>
      <w:r w:rsidRPr="00543EDD">
        <w:rPr>
          <w:rFonts w:eastAsiaTheme="minorEastAsia"/>
          <w:i/>
          <w:szCs w:val="24"/>
        </w:rPr>
        <w:t>C</w:t>
      </w:r>
      <w:r w:rsidRPr="00543EDD">
        <w:rPr>
          <w:rFonts w:eastAsiaTheme="minorEastAsia"/>
          <w:szCs w:val="24"/>
          <w:vertAlign w:val="subscript"/>
        </w:rPr>
        <w:t>1</w:t>
      </w:r>
      <w:r w:rsidRPr="00543EDD">
        <w:rPr>
          <w:rFonts w:eastAsiaTheme="minorEastAsia"/>
          <w:szCs w:val="24"/>
        </w:rPr>
        <w:t>,…,</w:t>
      </w:r>
      <w:r w:rsidRPr="00543EDD">
        <w:rPr>
          <w:rFonts w:eastAsiaTheme="minorEastAsia"/>
          <w:i/>
          <w:szCs w:val="24"/>
        </w:rPr>
        <w:t>C</w:t>
      </w:r>
      <w:r w:rsidRPr="00565439">
        <w:rPr>
          <w:rFonts w:eastAsiaTheme="minorEastAsia"/>
          <w:i/>
          <w:szCs w:val="24"/>
          <w:vertAlign w:val="subscript"/>
        </w:rPr>
        <w:t>n</w:t>
      </w:r>
      <w:r w:rsidRPr="00565439">
        <w:rPr>
          <w:rFonts w:eastAsiaTheme="minorEastAsia"/>
          <w:i/>
          <w:szCs w:val="24"/>
        </w:rPr>
        <w:t xml:space="preserve"> </w:t>
      </w:r>
      <w:r w:rsidRPr="00543EDD">
        <w:rPr>
          <w:rFonts w:eastAsiaTheme="minorEastAsia"/>
          <w:szCs w:val="24"/>
        </w:rPr>
        <w:t xml:space="preserve">kriterijumi, </w:t>
      </w:r>
      <w:r w:rsidRPr="00543EDD">
        <w:rPr>
          <w:rFonts w:eastAsiaTheme="minorEastAsia"/>
          <w:i/>
          <w:szCs w:val="24"/>
        </w:rPr>
        <w:t>x</w:t>
      </w:r>
      <w:r w:rsidRPr="00565439">
        <w:rPr>
          <w:rFonts w:eastAsiaTheme="minorEastAsia"/>
          <w:i/>
          <w:szCs w:val="24"/>
          <w:vertAlign w:val="subscript"/>
        </w:rPr>
        <w:t>ij</w:t>
      </w:r>
      <w:r w:rsidRPr="00543EDD">
        <w:rPr>
          <w:rFonts w:eastAsiaTheme="minorEastAsia"/>
          <w:szCs w:val="24"/>
        </w:rPr>
        <w:t xml:space="preserve"> je rang alternative prema kriterijumu.</w:t>
      </w:r>
    </w:p>
    <w:p w14:paraId="58ACEE6F" w14:textId="77777777" w:rsidR="00B457A6" w:rsidRPr="00543EDD" w:rsidRDefault="00B457A6" w:rsidP="00B457A6">
      <w:pPr>
        <w:rPr>
          <w:rFonts w:eastAsiaTheme="minorEastAsia"/>
          <w:szCs w:val="24"/>
        </w:rPr>
      </w:pPr>
      <w:r w:rsidRPr="00543EDD">
        <w:rPr>
          <w:rFonts w:eastAsiaTheme="minorEastAsia"/>
          <w:szCs w:val="24"/>
        </w:rPr>
        <w:t>U sledećem koraku vrši se normalizacija matrice:</w:t>
      </w:r>
    </w:p>
    <w:p w14:paraId="7D43F23C" w14:textId="77777777" w:rsidR="00B457A6" w:rsidRPr="00543EDD" w:rsidRDefault="00B457A6" w:rsidP="00B457A6">
      <w:pPr>
        <w:ind w:left="1416" w:firstLine="708"/>
        <w:jc w:val="center"/>
        <w:rPr>
          <w:szCs w:val="24"/>
        </w:rPr>
      </w:pPr>
      <w:r w:rsidRPr="00543EDD">
        <w:rPr>
          <w:rFonts w:eastAsiaTheme="minorEastAsia"/>
          <w:i/>
          <w:position w:val="-60"/>
          <w:szCs w:val="24"/>
        </w:rPr>
        <w:object w:dxaOrig="3340" w:dyaOrig="999" w14:anchorId="027D8A40">
          <v:shape id="_x0000_i1033" type="#_x0000_t75" style="width:150.75pt;height:45pt" o:ole="">
            <v:imagedata r:id="rId30" o:title=""/>
          </v:shape>
          <o:OLEObject Type="Embed" ProgID="Equation.DSMT4" ShapeID="_x0000_i1033" DrawAspect="Content" ObjectID="_1694958223" r:id="rId31"/>
        </w:object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  <w:lang w:val="sr-Latn-RS"/>
        </w:rPr>
        <w:t xml:space="preserve"> </w:t>
      </w:r>
      <w:r w:rsidRPr="00543EDD">
        <w:rPr>
          <w:rFonts w:eastAsiaTheme="minorEastAsia"/>
          <w:szCs w:val="24"/>
        </w:rPr>
        <w:t>(</w:t>
      </w:r>
      <w:r w:rsidRPr="00543EDD">
        <w:rPr>
          <w:rFonts w:eastAsiaTheme="minorEastAsia"/>
          <w:szCs w:val="24"/>
          <w:lang w:val="sr-Latn-RS"/>
        </w:rPr>
        <w:t>7</w:t>
      </w:r>
      <w:r w:rsidRPr="00543EDD">
        <w:rPr>
          <w:rFonts w:eastAsiaTheme="minorEastAsia"/>
          <w:szCs w:val="24"/>
        </w:rPr>
        <w:t>)</w:t>
      </w:r>
    </w:p>
    <w:p w14:paraId="32B0E6CD" w14:textId="77777777" w:rsidR="00B457A6" w:rsidRPr="00543EDD" w:rsidRDefault="00B457A6" w:rsidP="00B457A6">
      <w:pPr>
        <w:ind w:left="1416" w:firstLine="708"/>
        <w:jc w:val="center"/>
        <w:rPr>
          <w:szCs w:val="24"/>
        </w:rPr>
      </w:pPr>
      <w:r w:rsidRPr="00543EDD">
        <w:rPr>
          <w:rFonts w:eastAsiaTheme="minorEastAsia"/>
          <w:i/>
          <w:position w:val="-28"/>
          <w:szCs w:val="24"/>
        </w:rPr>
        <w:object w:dxaOrig="3280" w:dyaOrig="680" w14:anchorId="252D7E09">
          <v:shape id="_x0000_i1034" type="#_x0000_t75" style="width:152.25pt;height:27pt" o:ole="">
            <v:imagedata r:id="rId32" o:title=""/>
          </v:shape>
          <o:OLEObject Type="Embed" ProgID="Equation.DSMT4" ShapeID="_x0000_i1034" DrawAspect="Content" ObjectID="_1694958224" r:id="rId33"/>
        </w:object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  <w:t xml:space="preserve"> </w:t>
      </w:r>
      <w:r w:rsidRPr="00543EDD">
        <w:rPr>
          <w:rFonts w:eastAsiaTheme="minorEastAsia"/>
          <w:szCs w:val="24"/>
        </w:rPr>
        <w:t>(8)</w:t>
      </w:r>
    </w:p>
    <w:p w14:paraId="47931BD1" w14:textId="77777777" w:rsidR="00B457A6" w:rsidRPr="00543EDD" w:rsidRDefault="00B457A6" w:rsidP="00B457A6">
      <w:pPr>
        <w:rPr>
          <w:szCs w:val="24"/>
          <w:lang w:val="sr-Latn-RS"/>
        </w:rPr>
      </w:pPr>
      <w:r w:rsidRPr="00543EDD">
        <w:rPr>
          <w:szCs w:val="24"/>
        </w:rPr>
        <w:t>Nakon normalizacije, matrica se ponderiše njenim težinskim koeficijentima</w:t>
      </w:r>
      <w:r w:rsidRPr="00543EDD">
        <w:rPr>
          <w:szCs w:val="24"/>
          <w:lang w:val="sr-Latn-RS"/>
        </w:rPr>
        <w:t>:</w:t>
      </w:r>
    </w:p>
    <w:p w14:paraId="719EF67E" w14:textId="5348CC6D" w:rsidR="00B457A6" w:rsidRPr="00543EDD" w:rsidRDefault="00020076" w:rsidP="00B457A6">
      <w:pPr>
        <w:ind w:left="1416" w:firstLine="708"/>
        <w:jc w:val="center"/>
        <w:rPr>
          <w:szCs w:val="24"/>
        </w:rPr>
      </w:pPr>
      <w:r w:rsidRPr="00543EDD">
        <w:rPr>
          <w:rFonts w:eastAsiaTheme="minorEastAsia"/>
          <w:i/>
          <w:position w:val="-14"/>
          <w:szCs w:val="24"/>
        </w:rPr>
        <w:object w:dxaOrig="3300" w:dyaOrig="360" w14:anchorId="5D48EF5E">
          <v:shape id="_x0000_i1035" type="#_x0000_t75" style="width:156.75pt;height:15pt" o:ole="">
            <v:imagedata r:id="rId34" o:title=""/>
          </v:shape>
          <o:OLEObject Type="Embed" ProgID="Equation.DSMT4" ShapeID="_x0000_i1035" DrawAspect="Content" ObjectID="_1694958225" r:id="rId35"/>
        </w:object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  <w:t xml:space="preserve"> </w:t>
      </w:r>
      <w:r w:rsidR="00B457A6" w:rsidRPr="00543EDD">
        <w:rPr>
          <w:rFonts w:eastAsiaTheme="minorEastAsia"/>
          <w:szCs w:val="24"/>
        </w:rPr>
        <w:t>(9)</w:t>
      </w:r>
    </w:p>
    <w:p w14:paraId="7A632A3E" w14:textId="08FA6632" w:rsidR="00B457A6" w:rsidRPr="00543EDD" w:rsidRDefault="00B457A6" w:rsidP="00B457A6">
      <w:pPr>
        <w:rPr>
          <w:szCs w:val="24"/>
        </w:rPr>
      </w:pPr>
      <w:r w:rsidRPr="00543EDD">
        <w:rPr>
          <w:szCs w:val="24"/>
        </w:rPr>
        <w:lastRenderedPageBreak/>
        <w:t>Potom se formiraju idealno (</w:t>
      </w:r>
      <w:r w:rsidRPr="00543EDD">
        <w:rPr>
          <w:i/>
          <w:szCs w:val="24"/>
        </w:rPr>
        <w:t>A</w:t>
      </w:r>
      <w:r w:rsidRPr="00543EDD">
        <w:rPr>
          <w:szCs w:val="24"/>
          <w:vertAlign w:val="superscript"/>
        </w:rPr>
        <w:t>+</w:t>
      </w:r>
      <w:r w:rsidRPr="00543EDD">
        <w:rPr>
          <w:szCs w:val="24"/>
        </w:rPr>
        <w:t>) i anti</w:t>
      </w:r>
      <w:r w:rsidR="002D6873" w:rsidRPr="007A33B8">
        <w:rPr>
          <w:rFonts w:cs="Times New Roman"/>
          <w:spacing w:val="-2"/>
        </w:rPr>
        <w:t>–</w:t>
      </w:r>
      <w:r w:rsidRPr="00543EDD">
        <w:rPr>
          <w:szCs w:val="24"/>
        </w:rPr>
        <w:t>idealno (</w:t>
      </w:r>
      <w:r w:rsidRPr="00543EDD">
        <w:rPr>
          <w:i/>
          <w:szCs w:val="24"/>
        </w:rPr>
        <w:t>A</w:t>
      </w:r>
      <w:r w:rsidRPr="00543EDD">
        <w:rPr>
          <w:szCs w:val="24"/>
          <w:vertAlign w:val="superscript"/>
        </w:rPr>
        <w:t>-</w:t>
      </w:r>
      <w:r w:rsidRPr="00543EDD">
        <w:rPr>
          <w:szCs w:val="24"/>
        </w:rPr>
        <w:t>) rešenje, a zatim se računa udaljenost svake alternative od idealnog rešenja (</w:t>
      </w:r>
      <w:r w:rsidRPr="00543EDD">
        <w:rPr>
          <w:i/>
          <w:szCs w:val="24"/>
        </w:rPr>
        <w:t xml:space="preserve">Si </w:t>
      </w:r>
      <w:r w:rsidRPr="00543EDD">
        <w:rPr>
          <w:szCs w:val="24"/>
          <w:vertAlign w:val="superscript"/>
        </w:rPr>
        <w:t>+</w:t>
      </w:r>
      <w:r w:rsidRPr="00543EDD">
        <w:rPr>
          <w:szCs w:val="24"/>
        </w:rPr>
        <w:t xml:space="preserve">, </w:t>
      </w:r>
      <w:r w:rsidRPr="00543EDD">
        <w:rPr>
          <w:i/>
          <w:szCs w:val="24"/>
        </w:rPr>
        <w:t>Si</w:t>
      </w:r>
      <w:r w:rsidRPr="00543EDD">
        <w:rPr>
          <w:szCs w:val="24"/>
          <w:vertAlign w:val="superscript"/>
        </w:rPr>
        <w:t xml:space="preserve"> -</w:t>
      </w:r>
      <w:r w:rsidRPr="00543EDD">
        <w:rPr>
          <w:szCs w:val="24"/>
        </w:rPr>
        <w:t>):</w:t>
      </w:r>
    </w:p>
    <w:p w14:paraId="49589112" w14:textId="77777777" w:rsidR="00B457A6" w:rsidRPr="00543EDD" w:rsidRDefault="00B457A6" w:rsidP="005157E4">
      <w:pPr>
        <w:spacing w:before="120"/>
        <w:ind w:right="-57"/>
        <w:jc w:val="left"/>
        <w:rPr>
          <w:rFonts w:eastAsiaTheme="minorEastAsia"/>
          <w:szCs w:val="24"/>
        </w:rPr>
      </w:pPr>
      <w:r w:rsidRPr="00543EDD">
        <w:rPr>
          <w:rFonts w:eastAsiaTheme="minorEastAsia"/>
          <w:i/>
          <w:position w:val="-28"/>
          <w:szCs w:val="24"/>
        </w:rPr>
        <w:object w:dxaOrig="5620" w:dyaOrig="680" w14:anchorId="5213E0A9">
          <v:shape id="_x0000_i1036" type="#_x0000_t75" style="width:3in;height:27pt" o:ole="">
            <v:imagedata r:id="rId36" o:title=""/>
          </v:shape>
          <o:OLEObject Type="Embed" ProgID="Equation.DSMT4" ShapeID="_x0000_i1036" DrawAspect="Content" ObjectID="_1694958226" r:id="rId37"/>
        </w:object>
      </w:r>
      <w:r w:rsidR="005157E4">
        <w:rPr>
          <w:rFonts w:eastAsiaTheme="minorEastAsia"/>
          <w:i/>
          <w:szCs w:val="24"/>
        </w:rPr>
        <w:t xml:space="preserve">  </w:t>
      </w:r>
      <w:r w:rsidR="005157E4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position w:val="-30"/>
          <w:szCs w:val="24"/>
        </w:rPr>
        <w:object w:dxaOrig="2000" w:dyaOrig="700" w14:anchorId="5F9E825E">
          <v:shape id="_x0000_i1037" type="#_x0000_t75" style="width:95.25pt;height:27.75pt" o:ole="">
            <v:imagedata r:id="rId38" o:title=""/>
          </v:shape>
          <o:OLEObject Type="Embed" ProgID="Equation.DSMT4" ShapeID="_x0000_i1037" DrawAspect="Content" ObjectID="_1694958227" r:id="rId39"/>
        </w:object>
      </w:r>
    </w:p>
    <w:p w14:paraId="65C245D0" w14:textId="77777777" w:rsidR="00B457A6" w:rsidRPr="00543EDD" w:rsidRDefault="00B457A6" w:rsidP="005157E4">
      <w:pPr>
        <w:jc w:val="left"/>
        <w:rPr>
          <w:szCs w:val="24"/>
          <w:lang w:val="sr-Latn-RS"/>
        </w:rPr>
      </w:pPr>
      <w:r w:rsidRPr="00543EDD">
        <w:rPr>
          <w:rFonts w:eastAsiaTheme="minorEastAsia"/>
          <w:i/>
          <w:position w:val="-28"/>
          <w:szCs w:val="24"/>
        </w:rPr>
        <w:object w:dxaOrig="5600" w:dyaOrig="680" w14:anchorId="5EFC3B38">
          <v:shape id="_x0000_i1038" type="#_x0000_t75" style="width:3in;height:27pt" o:ole="">
            <v:imagedata r:id="rId40" o:title=""/>
          </v:shape>
          <o:OLEObject Type="Embed" ProgID="Equation.DSMT4" ShapeID="_x0000_i1038" DrawAspect="Content" ObjectID="_1694958228" r:id="rId41"/>
        </w:object>
      </w:r>
      <w:r w:rsidRPr="00543EDD">
        <w:rPr>
          <w:rFonts w:eastAsiaTheme="minorEastAsia"/>
          <w:i/>
          <w:szCs w:val="24"/>
        </w:rPr>
        <w:tab/>
      </w:r>
      <w:r w:rsidR="005157E4">
        <w:rPr>
          <w:rFonts w:eastAsiaTheme="minorEastAsia"/>
          <w:i/>
          <w:szCs w:val="24"/>
        </w:rPr>
        <w:tab/>
      </w:r>
      <w:r w:rsidRPr="00543EDD">
        <w:rPr>
          <w:rFonts w:eastAsiaTheme="minorEastAsia"/>
          <w:i/>
          <w:position w:val="-30"/>
          <w:szCs w:val="24"/>
        </w:rPr>
        <w:object w:dxaOrig="1980" w:dyaOrig="700" w14:anchorId="0D78C2D7">
          <v:shape id="_x0000_i1039" type="#_x0000_t75" style="width:87pt;height:27.75pt" o:ole="">
            <v:imagedata r:id="rId42" o:title=""/>
          </v:shape>
          <o:OLEObject Type="Embed" ProgID="Equation.DSMT4" ShapeID="_x0000_i1039" DrawAspect="Content" ObjectID="_1694958229" r:id="rId43"/>
        </w:object>
      </w:r>
      <w:r w:rsidR="005157E4">
        <w:rPr>
          <w:rFonts w:eastAsiaTheme="minorEastAsia"/>
          <w:i/>
          <w:szCs w:val="24"/>
        </w:rPr>
        <w:tab/>
        <w:t xml:space="preserve">          </w:t>
      </w:r>
      <w:r w:rsidR="00543EDD">
        <w:rPr>
          <w:rFonts w:eastAsiaTheme="minorEastAsia"/>
          <w:i/>
          <w:szCs w:val="24"/>
          <w:lang w:val="sr-Latn-RS"/>
        </w:rPr>
        <w:t xml:space="preserve"> </w:t>
      </w:r>
      <w:r w:rsidR="005157E4">
        <w:rPr>
          <w:rFonts w:eastAsiaTheme="minorEastAsia"/>
          <w:i/>
          <w:szCs w:val="24"/>
          <w:lang w:val="sr-Latn-RS"/>
        </w:rPr>
        <w:t xml:space="preserve">            </w:t>
      </w:r>
      <w:r w:rsidRPr="00543EDD">
        <w:rPr>
          <w:rFonts w:eastAsiaTheme="minorEastAsia"/>
          <w:szCs w:val="24"/>
          <w:lang w:val="sr-Latn-RS"/>
        </w:rPr>
        <w:t>(10)</w:t>
      </w:r>
    </w:p>
    <w:p w14:paraId="68FD3A71" w14:textId="77777777" w:rsidR="00B457A6" w:rsidRPr="00543EDD" w:rsidRDefault="00B457A6" w:rsidP="00727198">
      <w:pPr>
        <w:spacing w:after="40"/>
        <w:rPr>
          <w:szCs w:val="24"/>
          <w:lang w:val="sr-Latn-RS"/>
        </w:rPr>
      </w:pPr>
      <w:r w:rsidRPr="00543EDD">
        <w:rPr>
          <w:szCs w:val="24"/>
        </w:rPr>
        <w:t xml:space="preserve">Poslednji korak u </w:t>
      </w:r>
      <w:r w:rsidRPr="00543EDD">
        <w:rPr>
          <w:i/>
          <w:szCs w:val="24"/>
        </w:rPr>
        <w:t>TOPSIS</w:t>
      </w:r>
      <w:r w:rsidR="00002A61" w:rsidRPr="00543EDD">
        <w:rPr>
          <w:szCs w:val="24"/>
        </w:rPr>
        <w:t xml:space="preserve"> metodi predstavlja</w:t>
      </w:r>
      <w:r w:rsidRPr="00543EDD">
        <w:rPr>
          <w:szCs w:val="24"/>
        </w:rPr>
        <w:t xml:space="preserve"> računanje relativne bliskosti alternative idealnom rešenju</w:t>
      </w:r>
      <w:r w:rsidRPr="00543EDD">
        <w:rPr>
          <w:szCs w:val="24"/>
          <w:lang w:val="sr-Latn-RS"/>
        </w:rPr>
        <w:t>:</w:t>
      </w:r>
    </w:p>
    <w:p w14:paraId="55B7E0E2" w14:textId="77777777" w:rsidR="00B457A6" w:rsidRPr="00543EDD" w:rsidRDefault="00B457A6" w:rsidP="00B457A6">
      <w:pPr>
        <w:ind w:left="2124" w:firstLine="708"/>
        <w:jc w:val="center"/>
        <w:rPr>
          <w:rFonts w:eastAsiaTheme="minorEastAsia"/>
          <w:szCs w:val="24"/>
        </w:rPr>
      </w:pPr>
      <w:r w:rsidRPr="00543EDD">
        <w:rPr>
          <w:rFonts w:eastAsiaTheme="minorEastAsia"/>
          <w:i/>
          <w:position w:val="-30"/>
          <w:szCs w:val="24"/>
        </w:rPr>
        <w:object w:dxaOrig="2560" w:dyaOrig="720" w14:anchorId="6CD7705E">
          <v:shape id="_x0000_i1040" type="#_x0000_t75" style="width:114pt;height:36pt" o:ole="">
            <v:imagedata r:id="rId44" o:title=""/>
          </v:shape>
          <o:OLEObject Type="Embed" ProgID="Equation.DSMT4" ShapeID="_x0000_i1040" DrawAspect="Content" ObjectID="_1694958230" r:id="rId45"/>
        </w:object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</w:r>
      <w:r w:rsidR="00543EDD">
        <w:rPr>
          <w:rFonts w:eastAsiaTheme="minorEastAsia"/>
          <w:i/>
          <w:szCs w:val="24"/>
        </w:rPr>
        <w:tab/>
        <w:t xml:space="preserve">                       </w:t>
      </w:r>
      <w:r w:rsidRPr="00543EDD">
        <w:rPr>
          <w:rFonts w:eastAsiaTheme="minorEastAsia"/>
          <w:szCs w:val="24"/>
          <w:lang w:val="sr-Latn-RS"/>
        </w:rPr>
        <w:t>(11</w:t>
      </w:r>
      <w:r w:rsidRPr="00543EDD">
        <w:rPr>
          <w:rFonts w:eastAsiaTheme="minorEastAsia"/>
          <w:szCs w:val="24"/>
        </w:rPr>
        <w:t>)</w:t>
      </w:r>
    </w:p>
    <w:p w14:paraId="0A3B2428" w14:textId="77777777" w:rsidR="00B457A6" w:rsidRPr="00543EDD" w:rsidRDefault="00B457A6" w:rsidP="00B457A6">
      <w:pPr>
        <w:spacing w:after="200"/>
        <w:rPr>
          <w:szCs w:val="24"/>
        </w:rPr>
      </w:pPr>
      <w:r w:rsidRPr="00543EDD">
        <w:rPr>
          <w:szCs w:val="24"/>
        </w:rPr>
        <w:t>Rang vrednost</w:t>
      </w:r>
      <w:r w:rsidR="005157E4">
        <w:rPr>
          <w:szCs w:val="24"/>
        </w:rPr>
        <w:t>i</w:t>
      </w:r>
      <w:r w:rsidRPr="00543EDD">
        <w:rPr>
          <w:szCs w:val="24"/>
        </w:rPr>
        <w:t xml:space="preserve"> </w:t>
      </w:r>
      <w:r w:rsidRPr="00543EDD">
        <w:rPr>
          <w:i/>
          <w:szCs w:val="24"/>
        </w:rPr>
        <w:t>C</w:t>
      </w:r>
      <w:r w:rsidRPr="00543EDD">
        <w:rPr>
          <w:i/>
          <w:szCs w:val="24"/>
          <w:vertAlign w:val="subscript"/>
        </w:rPr>
        <w:t>i</w:t>
      </w:r>
      <w:r w:rsidR="005157E4">
        <w:rPr>
          <w:szCs w:val="24"/>
        </w:rPr>
        <w:t xml:space="preserve"> poređan</w:t>
      </w:r>
      <w:r w:rsidRPr="00543EDD">
        <w:rPr>
          <w:szCs w:val="24"/>
        </w:rPr>
        <w:t xml:space="preserve"> u opadajući niz (od najveće do najmanje vrednosti) odgovara rangu alternativa </w:t>
      </w:r>
      <w:r w:rsidRPr="00543EDD">
        <w:rPr>
          <w:i/>
          <w:szCs w:val="24"/>
        </w:rPr>
        <w:t>A</w:t>
      </w:r>
      <w:r w:rsidRPr="00543EDD">
        <w:rPr>
          <w:i/>
          <w:szCs w:val="24"/>
          <w:vertAlign w:val="subscript"/>
        </w:rPr>
        <w:t>i</w:t>
      </w:r>
      <w:r w:rsidRPr="00543EDD">
        <w:rPr>
          <w:szCs w:val="24"/>
        </w:rPr>
        <w:t xml:space="preserve"> (od najbolje do najlošije).</w:t>
      </w:r>
    </w:p>
    <w:p w14:paraId="19E6D525" w14:textId="77777777" w:rsidR="00CF590D" w:rsidRPr="00A3797B" w:rsidRDefault="00A3797B" w:rsidP="00A3797B">
      <w:pPr>
        <w:pStyle w:val="ListParagraph"/>
        <w:keepNext/>
        <w:keepLines/>
        <w:numPr>
          <w:ilvl w:val="0"/>
          <w:numId w:val="2"/>
        </w:numPr>
        <w:spacing w:before="200" w:line="240" w:lineRule="auto"/>
        <w:outlineLvl w:val="2"/>
        <w:rPr>
          <w:rFonts w:eastAsiaTheme="majorEastAsia" w:cstheme="majorBidi"/>
          <w:b/>
          <w:szCs w:val="24"/>
          <w:lang w:val="sr-Latn-RS"/>
        </w:rPr>
      </w:pPr>
      <w:r w:rsidRPr="00A3797B">
        <w:rPr>
          <w:rFonts w:eastAsiaTheme="majorEastAsia" w:cstheme="majorBidi"/>
          <w:b/>
          <w:szCs w:val="24"/>
          <w:lang w:val="sr-Latn-RS"/>
        </w:rPr>
        <w:t>Rezultati analize</w:t>
      </w:r>
    </w:p>
    <w:p w14:paraId="478BB246" w14:textId="77777777" w:rsidR="00A3797B" w:rsidRPr="00A3797B" w:rsidRDefault="00A3797B" w:rsidP="00A3797B">
      <w:pPr>
        <w:keepNext/>
        <w:keepLines/>
        <w:spacing w:before="200" w:line="240" w:lineRule="auto"/>
        <w:outlineLvl w:val="2"/>
        <w:rPr>
          <w:rFonts w:eastAsiaTheme="majorEastAsia" w:cstheme="majorBidi"/>
          <w:b/>
          <w:bCs/>
          <w:szCs w:val="24"/>
          <w:lang w:val="sr-Latn-RS"/>
        </w:rPr>
      </w:pPr>
      <w:r>
        <w:rPr>
          <w:rFonts w:eastAsiaTheme="majorEastAsia" w:cstheme="majorBidi"/>
          <w:b/>
          <w:bCs/>
          <w:szCs w:val="24"/>
          <w:lang w:val="sr-Latn-RS"/>
        </w:rPr>
        <w:t>4.1 VIKOR metoda</w:t>
      </w:r>
    </w:p>
    <w:p w14:paraId="55430C5B" w14:textId="7FBE39CA" w:rsidR="00CF590D" w:rsidRPr="00CF590D" w:rsidRDefault="00CF590D" w:rsidP="00CF590D">
      <w:pPr>
        <w:spacing w:line="240" w:lineRule="auto"/>
        <w:rPr>
          <w:rFonts w:eastAsia="Calibri" w:cs="Times New Roman"/>
          <w:lang w:val="sr-Latn-RS"/>
        </w:rPr>
      </w:pPr>
      <w:r w:rsidRPr="00CF590D">
        <w:rPr>
          <w:rFonts w:eastAsia="Calibri" w:cs="Times New Roman"/>
          <w:lang w:val="sr-Latn-RS"/>
        </w:rPr>
        <w:t>Za primenu ove metode pri rangiranju ponuđenih alternativa korišćeni su ulazni podaci prikazani</w:t>
      </w:r>
      <w:r w:rsidR="007A33B8">
        <w:rPr>
          <w:rFonts w:eastAsia="Calibri" w:cs="Times New Roman"/>
          <w:lang w:val="sr-Latn-RS"/>
        </w:rPr>
        <w:t xml:space="preserve"> u</w:t>
      </w:r>
      <w:r w:rsidR="0083548A">
        <w:rPr>
          <w:rFonts w:eastAsia="Calibri" w:cs="Times New Roman"/>
          <w:lang w:val="sr-Latn-RS"/>
        </w:rPr>
        <w:t xml:space="preserve"> tabelama 2.1–2.3 i slikama 2.2 i 2.3.</w:t>
      </w:r>
      <w:r w:rsidRPr="00CF590D">
        <w:rPr>
          <w:rFonts w:eastAsia="Calibri" w:cs="Times New Roman"/>
          <w:lang w:val="sr-Latn-RS"/>
        </w:rPr>
        <w:t xml:space="preserve"> Izračunate su numeričke vrednosti za pesimističko rešenje </w:t>
      </w:r>
      <w:r w:rsidRPr="00CF590D">
        <w:rPr>
          <w:rFonts w:eastAsia="Calibri" w:cs="Times New Roman"/>
          <w:i/>
          <w:lang w:val="sr-Latn-RS"/>
        </w:rPr>
        <w:t>S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Pr="00CF590D">
        <w:rPr>
          <w:rFonts w:eastAsia="Calibri" w:cs="Times New Roman"/>
          <w:lang w:val="sr-Latn-RS"/>
        </w:rPr>
        <w:t xml:space="preserve">, očekivano rešenje </w:t>
      </w:r>
      <w:r w:rsidRPr="00CF590D">
        <w:rPr>
          <w:rFonts w:eastAsia="Calibri" w:cs="Times New Roman"/>
          <w:i/>
          <w:lang w:val="sr-Latn-RS"/>
        </w:rPr>
        <w:t>R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Pr="00CF590D">
        <w:rPr>
          <w:rFonts w:eastAsia="Calibri" w:cs="Times New Roman"/>
          <w:lang w:val="sr-Latn-RS"/>
        </w:rPr>
        <w:t xml:space="preserve"> i kompromisno rešenje </w:t>
      </w:r>
      <w:r w:rsidRPr="00CF590D">
        <w:rPr>
          <w:rFonts w:eastAsia="Calibri" w:cs="Times New Roman"/>
          <w:i/>
          <w:lang w:val="sr-Latn-RS"/>
        </w:rPr>
        <w:t>Q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Pr="00CF590D">
        <w:rPr>
          <w:rFonts w:eastAsia="Calibri" w:cs="Times New Roman"/>
          <w:i/>
          <w:lang w:val="sr-Latn-RS"/>
        </w:rPr>
        <w:t xml:space="preserve"> </w:t>
      </w:r>
      <w:r w:rsidRPr="00CF590D">
        <w:rPr>
          <w:rFonts w:eastAsia="Calibri" w:cs="Times New Roman"/>
          <w:lang w:val="sr-Latn-RS"/>
        </w:rPr>
        <w:t>prema jednačinama koje su date u teorijskom obrazloženju ove metode, prikazanom u prethodnom poglavlju.</w:t>
      </w:r>
    </w:p>
    <w:p w14:paraId="083DF29A" w14:textId="77777777" w:rsidR="00CF590D" w:rsidRPr="007A33B8" w:rsidRDefault="00CF590D" w:rsidP="00AF3EC7">
      <w:pPr>
        <w:spacing w:line="240" w:lineRule="auto"/>
        <w:rPr>
          <w:rFonts w:eastAsia="Calibri" w:cs="Times New Roman"/>
          <w:lang w:val="sr-Latn-RS"/>
        </w:rPr>
      </w:pPr>
      <w:r w:rsidRPr="00CF590D">
        <w:rPr>
          <w:rFonts w:eastAsia="Calibri" w:cs="Times New Roman"/>
          <w:lang w:val="sr-Latn-RS"/>
        </w:rPr>
        <w:t xml:space="preserve">Rangiranje alternativa vrši se sortiranjem vrednosti </w:t>
      </w:r>
      <w:r w:rsidRPr="00CF590D">
        <w:rPr>
          <w:rFonts w:eastAsia="Calibri" w:cs="Times New Roman"/>
          <w:i/>
          <w:lang w:val="sr-Latn-RS"/>
        </w:rPr>
        <w:t>S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Pr="00CF590D">
        <w:rPr>
          <w:rFonts w:eastAsia="Calibri" w:cs="Times New Roman"/>
          <w:i/>
          <w:lang w:val="sr-Latn-RS"/>
        </w:rPr>
        <w:t>,</w:t>
      </w:r>
      <w:r w:rsidRPr="00CF590D">
        <w:rPr>
          <w:rFonts w:eastAsia="Calibri" w:cs="Times New Roman"/>
          <w:i/>
          <w:vertAlign w:val="subscript"/>
          <w:lang w:val="sr-Latn-RS"/>
        </w:rPr>
        <w:t xml:space="preserve"> </w:t>
      </w:r>
      <w:r w:rsidRPr="00CF590D">
        <w:rPr>
          <w:rFonts w:eastAsia="Calibri" w:cs="Times New Roman"/>
          <w:i/>
          <w:lang w:val="sr-Latn-RS"/>
        </w:rPr>
        <w:t>R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Pr="00CF590D">
        <w:rPr>
          <w:rFonts w:eastAsia="Calibri" w:cs="Times New Roman"/>
          <w:i/>
          <w:lang w:val="sr-Latn-RS"/>
        </w:rPr>
        <w:t xml:space="preserve"> i Q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Pr="00CF590D">
        <w:rPr>
          <w:rFonts w:eastAsia="Calibri" w:cs="Times New Roman"/>
          <w:i/>
          <w:lang w:val="sr-Latn-RS"/>
        </w:rPr>
        <w:t xml:space="preserve"> </w:t>
      </w:r>
      <w:r w:rsidRPr="00CF590D">
        <w:rPr>
          <w:rFonts w:eastAsia="Calibri" w:cs="Times New Roman"/>
          <w:lang w:val="sr-Latn-RS"/>
        </w:rPr>
        <w:t xml:space="preserve">i to po opadajućem </w:t>
      </w:r>
      <w:r w:rsidR="005157E4">
        <w:rPr>
          <w:rFonts w:eastAsia="Calibri" w:cs="Times New Roman"/>
          <w:lang w:val="sr-Latn-RS"/>
        </w:rPr>
        <w:t xml:space="preserve">redosledu. Dobijene su tri rang </w:t>
      </w:r>
      <w:r w:rsidRPr="00CF590D">
        <w:rPr>
          <w:rFonts w:eastAsia="Calibri" w:cs="Times New Roman"/>
          <w:lang w:val="sr-Latn-RS"/>
        </w:rPr>
        <w:t xml:space="preserve">liste, za tri različite vrednosti stope, </w:t>
      </w:r>
      <w:r w:rsidRPr="00CF590D">
        <w:rPr>
          <w:rFonts w:eastAsia="Calibri" w:cs="Times New Roman"/>
          <w:i/>
          <w:lang w:val="sr-Latn-RS"/>
        </w:rPr>
        <w:t xml:space="preserve">v = 0,5; 0,6 </w:t>
      </w:r>
      <w:r w:rsidRPr="00CF590D">
        <w:rPr>
          <w:rFonts w:eastAsia="Calibri" w:cs="Times New Roman"/>
          <w:lang w:val="sr-Latn-RS"/>
        </w:rPr>
        <w:t>i</w:t>
      </w:r>
      <w:r w:rsidRPr="00CF590D">
        <w:rPr>
          <w:rFonts w:eastAsia="Calibri" w:cs="Times New Roman"/>
          <w:i/>
          <w:lang w:val="sr-Latn-RS"/>
        </w:rPr>
        <w:t xml:space="preserve"> 0,7</w:t>
      </w:r>
      <w:r>
        <w:rPr>
          <w:rFonts w:eastAsia="Calibri" w:cs="Times New Roman"/>
          <w:lang w:val="sr-Latn-RS"/>
        </w:rPr>
        <w:t xml:space="preserve">. </w:t>
      </w:r>
      <w:r w:rsidRPr="00CF590D">
        <w:rPr>
          <w:rFonts w:eastAsia="Calibri" w:cs="Times New Roman"/>
          <w:lang w:val="sr-Latn-RS"/>
        </w:rPr>
        <w:t>Glavni rang je rezultat kompomisa rang</w:t>
      </w:r>
      <w:r w:rsidR="005157E4">
        <w:rPr>
          <w:rFonts w:eastAsia="Calibri" w:cs="Times New Roman"/>
          <w:lang w:val="sr-Latn-RS"/>
        </w:rPr>
        <w:t xml:space="preserve"> </w:t>
      </w:r>
      <w:r w:rsidRPr="00CF590D">
        <w:rPr>
          <w:rFonts w:eastAsia="Calibri" w:cs="Times New Roman"/>
          <w:lang w:val="sr-Latn-RS"/>
        </w:rPr>
        <w:t>lista alternativa i kompromisn</w:t>
      </w:r>
      <w:r w:rsidR="007A33B8">
        <w:rPr>
          <w:rFonts w:eastAsia="Calibri" w:cs="Times New Roman"/>
          <w:lang w:val="sr-Latn-RS"/>
        </w:rPr>
        <w:t xml:space="preserve">og rešenja sa određenom stopom. </w:t>
      </w:r>
      <w:r w:rsidRPr="00CF590D">
        <w:rPr>
          <w:rFonts w:eastAsia="Calibri" w:cs="Times New Roman"/>
          <w:lang w:val="sr-Latn-RS"/>
        </w:rPr>
        <w:t xml:space="preserve">Vrednosti </w:t>
      </w:r>
      <w:r w:rsidRPr="00CF590D">
        <w:rPr>
          <w:rFonts w:eastAsia="Calibri" w:cs="Times New Roman"/>
          <w:i/>
          <w:lang w:val="sr-Latn-RS"/>
        </w:rPr>
        <w:t>S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Pr="00CF590D">
        <w:rPr>
          <w:rFonts w:eastAsia="Calibri" w:cs="Times New Roman"/>
          <w:lang w:val="sr-Latn-RS"/>
        </w:rPr>
        <w:t xml:space="preserve"> i </w:t>
      </w:r>
      <w:r w:rsidRPr="00CF590D">
        <w:rPr>
          <w:rFonts w:eastAsia="Calibri" w:cs="Times New Roman"/>
          <w:i/>
          <w:lang w:val="sr-Latn-RS"/>
        </w:rPr>
        <w:t>R</w:t>
      </w:r>
      <w:r w:rsidRPr="00CF590D">
        <w:rPr>
          <w:rFonts w:eastAsia="Calibri" w:cs="Times New Roman"/>
          <w:i/>
          <w:vertAlign w:val="subscript"/>
          <w:lang w:val="sr-Latn-RS"/>
        </w:rPr>
        <w:t>j</w:t>
      </w:r>
      <w:r w:rsidR="00200A37">
        <w:rPr>
          <w:rFonts w:eastAsia="Calibri" w:cs="Times New Roman"/>
          <w:lang w:val="sr-Latn-RS"/>
        </w:rPr>
        <w:t xml:space="preserve"> prikazani su u tabeli 4.1 </w:t>
      </w:r>
      <w:r w:rsidRPr="00CF590D">
        <w:rPr>
          <w:rFonts w:eastAsia="Calibri" w:cs="Times New Roman"/>
          <w:lang w:val="sr-Latn-RS"/>
        </w:rPr>
        <w:t xml:space="preserve">dok su </w:t>
      </w:r>
      <w:r w:rsidRPr="007A33B8">
        <w:rPr>
          <w:rFonts w:eastAsia="Calibri" w:cs="Times New Roman"/>
          <w:lang w:val="sr-Latn-RS"/>
        </w:rPr>
        <w:t xml:space="preserve">za vrednosti </w:t>
      </w:r>
      <w:r w:rsidRPr="007A33B8">
        <w:rPr>
          <w:rFonts w:eastAsia="Calibri" w:cs="Times New Roman"/>
          <w:i/>
          <w:lang w:val="sr-Latn-RS"/>
        </w:rPr>
        <w:t>Q</w:t>
      </w:r>
      <w:r w:rsidRPr="007A33B8">
        <w:rPr>
          <w:rFonts w:eastAsia="Calibri" w:cs="Times New Roman"/>
          <w:i/>
          <w:vertAlign w:val="subscript"/>
          <w:lang w:val="sr-Latn-RS"/>
        </w:rPr>
        <w:t>j</w:t>
      </w:r>
      <w:r w:rsidRPr="007A33B8">
        <w:rPr>
          <w:rFonts w:eastAsia="Calibri" w:cs="Times New Roman"/>
          <w:vertAlign w:val="subscript"/>
          <w:lang w:val="sr-Latn-RS"/>
        </w:rPr>
        <w:t xml:space="preserve"> </w:t>
      </w:r>
      <w:r w:rsidR="007A33B8" w:rsidRPr="007A33B8">
        <w:rPr>
          <w:rFonts w:eastAsia="Calibri" w:cs="Times New Roman"/>
          <w:lang w:val="sr-Latn-RS"/>
        </w:rPr>
        <w:t xml:space="preserve">dobijene tri rang </w:t>
      </w:r>
      <w:r w:rsidRPr="007A33B8">
        <w:rPr>
          <w:rFonts w:eastAsia="Calibri" w:cs="Times New Roman"/>
          <w:lang w:val="sr-Latn-RS"/>
        </w:rPr>
        <w:t xml:space="preserve">liste, za različite vrednosti stope </w:t>
      </w:r>
      <w:r w:rsidRPr="007A33B8">
        <w:rPr>
          <w:rFonts w:eastAsia="Calibri" w:cs="Times New Roman"/>
          <w:i/>
          <w:lang w:val="sr-Latn-RS"/>
        </w:rPr>
        <w:t xml:space="preserve">v = 0,5; 0,6 </w:t>
      </w:r>
      <w:r w:rsidRPr="007A33B8">
        <w:rPr>
          <w:rFonts w:eastAsia="Calibri" w:cs="Times New Roman"/>
          <w:lang w:val="sr-Latn-RS"/>
        </w:rPr>
        <w:t>i</w:t>
      </w:r>
      <w:r w:rsidRPr="007A33B8">
        <w:rPr>
          <w:rFonts w:eastAsia="Calibri" w:cs="Times New Roman"/>
          <w:i/>
          <w:lang w:val="sr-Latn-RS"/>
        </w:rPr>
        <w:t xml:space="preserve"> 0,7 </w:t>
      </w:r>
      <w:r w:rsidRPr="007A33B8">
        <w:rPr>
          <w:rFonts w:eastAsia="Calibri" w:cs="Times New Roman"/>
          <w:lang w:val="sr-Latn-RS"/>
        </w:rPr>
        <w:t xml:space="preserve">i date su u </w:t>
      </w:r>
      <w:r w:rsidR="007A33B8" w:rsidRPr="007A33B8">
        <w:rPr>
          <w:rFonts w:eastAsia="Calibri" w:cs="Times New Roman"/>
          <w:lang w:val="sr-Latn-RS"/>
        </w:rPr>
        <w:t>tabeli 4.2</w:t>
      </w:r>
      <w:r w:rsidRPr="007A33B8">
        <w:rPr>
          <w:rFonts w:eastAsia="Calibri" w:cs="Times New Roman"/>
          <w:color w:val="FF0000"/>
          <w:lang w:val="sr-Latn-RS"/>
        </w:rPr>
        <w:t>.</w:t>
      </w:r>
    </w:p>
    <w:p w14:paraId="4B90B4DE" w14:textId="77777777" w:rsidR="00CF590D" w:rsidRPr="00CF590D" w:rsidRDefault="00CF590D" w:rsidP="00CF590D">
      <w:pPr>
        <w:spacing w:after="20" w:line="240" w:lineRule="auto"/>
        <w:ind w:left="2126"/>
        <w:rPr>
          <w:rFonts w:eastAsia="Calibri" w:cs="Times New Roman"/>
          <w:i/>
          <w:sz w:val="22"/>
          <w:szCs w:val="24"/>
          <w:lang w:val="sr-Latn-RS"/>
        </w:rPr>
      </w:pPr>
      <w:r w:rsidRPr="00CF590D">
        <w:rPr>
          <w:rFonts w:eastAsia="Calibri" w:cs="Times New Roman"/>
          <w:sz w:val="22"/>
          <w:szCs w:val="24"/>
          <w:lang w:val="sr-Latn-RS"/>
        </w:rPr>
        <w:t xml:space="preserve">   </w:t>
      </w:r>
      <w:r w:rsidRPr="00CF590D">
        <w:rPr>
          <w:rFonts w:eastAsia="Calibri" w:cs="Times New Roman"/>
          <w:sz w:val="22"/>
          <w:szCs w:val="24"/>
          <w:lang w:val="sr-Latn-RS"/>
        </w:rPr>
        <w:tab/>
      </w:r>
      <w:r w:rsidRPr="00CF590D">
        <w:rPr>
          <w:rFonts w:eastAsia="Calibri" w:cs="Times New Roman"/>
          <w:sz w:val="22"/>
          <w:szCs w:val="24"/>
          <w:lang w:val="sr-Latn-RS"/>
        </w:rPr>
        <w:tab/>
      </w:r>
      <w:r w:rsidRPr="00CF590D">
        <w:rPr>
          <w:rFonts w:eastAsia="Calibri" w:cs="Times New Roman"/>
          <w:i/>
          <w:szCs w:val="24"/>
          <w:lang w:val="sr-Latn-RS"/>
        </w:rPr>
        <w:t>Tabela</w:t>
      </w:r>
      <w:r w:rsidR="00DA18BC">
        <w:rPr>
          <w:rFonts w:eastAsia="Calibri" w:cs="Times New Roman"/>
          <w:i/>
          <w:szCs w:val="24"/>
          <w:lang w:val="sr-Latn-RS"/>
        </w:rPr>
        <w:t xml:space="preserve"> 4</w:t>
      </w:r>
      <w:r w:rsidRPr="00CF590D">
        <w:rPr>
          <w:rFonts w:eastAsia="Calibri" w:cs="Times New Roman"/>
          <w:i/>
          <w:szCs w:val="24"/>
          <w:lang w:val="sr-Latn-RS"/>
        </w:rPr>
        <w:t>.</w:t>
      </w:r>
      <w:r w:rsidR="00DA18BC">
        <w:rPr>
          <w:rFonts w:eastAsia="Calibri" w:cs="Times New Roman"/>
          <w:i/>
          <w:szCs w:val="24"/>
          <w:lang w:val="sr-Latn-RS"/>
        </w:rPr>
        <w:t>1</w:t>
      </w:r>
      <w:r w:rsidRPr="00CF590D">
        <w:rPr>
          <w:rFonts w:eastAsia="Times New Roman" w:cs="Times New Roman"/>
          <w:i/>
          <w:szCs w:val="24"/>
          <w:lang w:val="sr-Cyrl-RS"/>
        </w:rPr>
        <w:t xml:space="preserve"> Vrednosti S</w:t>
      </w:r>
      <w:r w:rsidRPr="00CF590D">
        <w:rPr>
          <w:rFonts w:eastAsia="Times New Roman" w:cs="Times New Roman"/>
          <w:i/>
          <w:szCs w:val="24"/>
          <w:vertAlign w:val="subscript"/>
          <w:lang w:val="sr-Cyrl-RS"/>
        </w:rPr>
        <w:t>j</w:t>
      </w:r>
      <w:r w:rsidRPr="00CF590D">
        <w:rPr>
          <w:rFonts w:eastAsia="Times New Roman" w:cs="Times New Roman"/>
          <w:i/>
          <w:szCs w:val="24"/>
          <w:lang w:val="sr-Cyrl-RS"/>
        </w:rPr>
        <w:t xml:space="preserve"> i R</w:t>
      </w:r>
      <w:r w:rsidRPr="00CF590D">
        <w:rPr>
          <w:rFonts w:eastAsia="Times New Roman" w:cs="Times New Roman"/>
          <w:i/>
          <w:szCs w:val="24"/>
          <w:vertAlign w:val="subscript"/>
          <w:lang w:val="sr-Cyrl-RS"/>
        </w:rPr>
        <w:t>j</w:t>
      </w:r>
    </w:p>
    <w:tbl>
      <w:tblPr>
        <w:tblW w:w="5654" w:type="dxa"/>
        <w:jc w:val="center"/>
        <w:tblLook w:val="04A0" w:firstRow="1" w:lastRow="0" w:firstColumn="1" w:lastColumn="0" w:noHBand="0" w:noVBand="1"/>
      </w:tblPr>
      <w:tblGrid>
        <w:gridCol w:w="2725"/>
        <w:gridCol w:w="1615"/>
        <w:gridCol w:w="1314"/>
      </w:tblGrid>
      <w:tr w:rsidR="00CF590D" w:rsidRPr="00CF590D" w14:paraId="3D3E4ED8" w14:textId="77777777" w:rsidTr="00CF590D">
        <w:trPr>
          <w:trHeight w:val="319"/>
          <w:jc w:val="center"/>
        </w:trPr>
        <w:tc>
          <w:tcPr>
            <w:tcW w:w="27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097787F6" w14:textId="77777777" w:rsidR="00CF590D" w:rsidRPr="00C55C8B" w:rsidRDefault="00CF590D" w:rsidP="002D0FB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  <w:szCs w:val="24"/>
                <w:lang w:val="sr-Latn-RS" w:eastAsia="sr-Latn-RS"/>
              </w:rPr>
            </w:pPr>
            <w:r w:rsidRPr="00C55C8B">
              <w:rPr>
                <w:rFonts w:eastAsia="Times New Roman" w:cs="Times New Roman"/>
                <w:b/>
                <w:bCs/>
                <w:i/>
                <w:iCs/>
                <w:sz w:val="22"/>
                <w:szCs w:val="24"/>
                <w:lang w:val="sr-Latn-RS" w:eastAsia="sr-Latn-RS"/>
              </w:rPr>
              <w:t>Sistem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49A79DA4" w14:textId="77777777" w:rsidR="00CF590D" w:rsidRPr="00C55C8B" w:rsidRDefault="00CF590D" w:rsidP="002D0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0"/>
                <w:lang w:val="sr-Cyrl-RS" w:eastAsia="sr-Latn-RS"/>
              </w:rPr>
            </w:pPr>
            <w:r w:rsidRPr="00C55C8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0"/>
                <w:lang w:val="sr-Cyrl-RS" w:eastAsia="sr-Latn-RS"/>
              </w:rPr>
              <w:t>S</w:t>
            </w:r>
            <w:r w:rsidRPr="00C55C8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0"/>
                <w:vertAlign w:val="subscript"/>
                <w:lang w:val="sr-Cyrl-RS" w:eastAsia="sr-Latn-RS"/>
              </w:rPr>
              <w:t>j</w:t>
            </w:r>
          </w:p>
        </w:tc>
        <w:tc>
          <w:tcPr>
            <w:tcW w:w="13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3E577C0A" w14:textId="77777777" w:rsidR="00CF590D" w:rsidRPr="00C55C8B" w:rsidRDefault="00CF590D" w:rsidP="002D0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0"/>
                <w:lang w:val="sr-Cyrl-RS" w:eastAsia="sr-Latn-RS"/>
              </w:rPr>
            </w:pPr>
            <w:r w:rsidRPr="00C55C8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0"/>
                <w:lang w:val="sr-Cyrl-RS" w:eastAsia="sr-Latn-RS"/>
              </w:rPr>
              <w:t>R</w:t>
            </w:r>
            <w:r w:rsidRPr="00C55C8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0"/>
                <w:vertAlign w:val="subscript"/>
                <w:lang w:val="sr-Cyrl-RS" w:eastAsia="sr-Latn-RS"/>
              </w:rPr>
              <w:t>j</w:t>
            </w:r>
          </w:p>
        </w:tc>
      </w:tr>
      <w:tr w:rsidR="00CF590D" w:rsidRPr="00CF590D" w14:paraId="2CFAC433" w14:textId="77777777" w:rsidTr="00CF590D">
        <w:trPr>
          <w:trHeight w:val="319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8BB0" w14:textId="77777777" w:rsidR="00CF590D" w:rsidRPr="00CF590D" w:rsidRDefault="00CF590D" w:rsidP="002D0F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val="sr-Latn-RS" w:eastAsia="sr-Latn-RS"/>
              </w:rPr>
            </w:pPr>
            <w:r>
              <w:rPr>
                <w:rFonts w:eastAsia="Times New Roman" w:cs="Times New Roman"/>
                <w:sz w:val="22"/>
                <w:szCs w:val="24"/>
                <w:lang w:val="sr-Latn-RS"/>
              </w:rPr>
              <w:t>I BTD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A2E5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0,31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021BB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CF590D" w:rsidRPr="00CF590D" w14:paraId="55A24551" w14:textId="77777777" w:rsidTr="00CF590D">
        <w:trPr>
          <w:trHeight w:val="319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9406" w14:textId="77777777" w:rsidR="00CF590D" w:rsidRPr="00CF590D" w:rsidRDefault="00CF590D" w:rsidP="002D0F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val="sr-Cyrl-RS" w:eastAsia="sr-Latn-RS"/>
              </w:rPr>
            </w:pPr>
            <w:r>
              <w:rPr>
                <w:rFonts w:eastAsia="Times New Roman" w:cs="Times New Roman"/>
                <w:sz w:val="22"/>
                <w:szCs w:val="24"/>
                <w:lang w:val="sr-Latn-RS"/>
              </w:rPr>
              <w:t>II BTD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6633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978F6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1,00</w:t>
            </w:r>
          </w:p>
        </w:tc>
      </w:tr>
      <w:tr w:rsidR="00CF590D" w:rsidRPr="00CF590D" w14:paraId="65E63F42" w14:textId="77777777" w:rsidTr="00CF590D">
        <w:trPr>
          <w:trHeight w:val="319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06FF" w14:textId="77777777" w:rsidR="00CF590D" w:rsidRPr="00CF590D" w:rsidRDefault="00CF590D" w:rsidP="002D0F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val="sr-Cyrl-RS" w:eastAsia="sr-Latn-RS"/>
              </w:rPr>
            </w:pPr>
            <w:r>
              <w:rPr>
                <w:rFonts w:eastAsia="Times New Roman" w:cs="Times New Roman"/>
                <w:sz w:val="22"/>
                <w:szCs w:val="24"/>
                <w:lang w:val="sr-Latn-RS"/>
              </w:rPr>
              <w:t>III BTD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44EC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D4DE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1,00</w:t>
            </w:r>
          </w:p>
        </w:tc>
      </w:tr>
      <w:tr w:rsidR="00CF590D" w:rsidRPr="00CF590D" w14:paraId="2079CF72" w14:textId="77777777" w:rsidTr="00CF590D">
        <w:trPr>
          <w:trHeight w:val="122"/>
          <w:jc w:val="center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5B56C" w14:textId="77777777" w:rsidR="00CF590D" w:rsidRPr="00CF590D" w:rsidRDefault="00CF590D" w:rsidP="002D0F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val="sr-Latn-RS" w:eastAsia="sr-Latn-RS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sr-Latn-RS" w:eastAsia="sr-Latn-RS"/>
              </w:rPr>
              <w:t>IV BTD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DC008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0,49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CDDE7" w14:textId="77777777" w:rsidR="00CF590D" w:rsidRPr="00CF590D" w:rsidRDefault="00CF590D" w:rsidP="002D0FB3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CF590D">
              <w:rPr>
                <w:rFonts w:cs="Times New Roman"/>
                <w:color w:val="000000"/>
                <w:sz w:val="22"/>
              </w:rPr>
              <w:t>0,00</w:t>
            </w:r>
          </w:p>
        </w:tc>
      </w:tr>
    </w:tbl>
    <w:p w14:paraId="7C180ACC" w14:textId="77777777" w:rsidR="00CF590D" w:rsidRPr="00CF590D" w:rsidRDefault="00CF590D" w:rsidP="00AF3EC7">
      <w:pPr>
        <w:spacing w:before="200" w:after="20"/>
        <w:rPr>
          <w:rFonts w:eastAsia="Calibri" w:cs="Times New Roman"/>
          <w:i/>
          <w:lang w:val="sr-Latn-RS"/>
        </w:rPr>
      </w:pPr>
      <w:r w:rsidRPr="00CF590D">
        <w:rPr>
          <w:rFonts w:eastAsia="Calibri" w:cs="Times New Roman"/>
          <w:i/>
          <w:lang w:val="sr-Latn-RS"/>
        </w:rPr>
        <w:t xml:space="preserve">Tabela </w:t>
      </w:r>
      <w:r w:rsidR="00DA18BC">
        <w:rPr>
          <w:rFonts w:eastAsia="Calibri" w:cs="Times New Roman"/>
          <w:i/>
          <w:lang w:val="sr-Latn-RS"/>
        </w:rPr>
        <w:t>4</w:t>
      </w:r>
      <w:r w:rsidRPr="00CF590D">
        <w:rPr>
          <w:rFonts w:eastAsia="Calibri" w:cs="Times New Roman"/>
          <w:i/>
          <w:lang w:val="sr-Latn-RS"/>
        </w:rPr>
        <w:t>.</w:t>
      </w:r>
      <w:r w:rsidR="00DA18BC">
        <w:rPr>
          <w:rFonts w:eastAsia="Calibri" w:cs="Times New Roman"/>
          <w:i/>
          <w:lang w:val="sr-Latn-RS"/>
        </w:rPr>
        <w:t>2</w:t>
      </w:r>
      <w:r w:rsidRPr="00CF590D">
        <w:rPr>
          <w:rFonts w:eastAsia="Calibri" w:cs="Times New Roman"/>
          <w:i/>
          <w:lang w:val="sr-Latn-RS"/>
        </w:rPr>
        <w:t xml:space="preserve"> Vrednosti Q</w:t>
      </w:r>
      <w:r w:rsidRPr="00CF590D">
        <w:rPr>
          <w:rFonts w:eastAsia="Calibri" w:cs="Times New Roman"/>
          <w:i/>
          <w:vertAlign w:val="subscript"/>
          <w:lang w:val="sr-Latn-RS"/>
        </w:rPr>
        <w:t xml:space="preserve">j  </w:t>
      </w:r>
      <w:r w:rsidRPr="00CF590D">
        <w:rPr>
          <w:rFonts w:eastAsia="Calibri" w:cs="Times New Roman"/>
          <w:i/>
          <w:lang w:val="sr-Latn-RS"/>
        </w:rPr>
        <w:t>za v = 0,5; 0,6 i 0,7</w:t>
      </w:r>
    </w:p>
    <w:tbl>
      <w:tblPr>
        <w:tblStyle w:val="TableGrid1"/>
        <w:tblW w:w="8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1188"/>
        <w:gridCol w:w="1189"/>
        <w:gridCol w:w="1189"/>
        <w:gridCol w:w="1189"/>
        <w:gridCol w:w="1189"/>
        <w:gridCol w:w="1189"/>
      </w:tblGrid>
      <w:tr w:rsidR="00CF590D" w:rsidRPr="00CF590D" w14:paraId="404DE9AB" w14:textId="77777777" w:rsidTr="002D0FB3">
        <w:trPr>
          <w:trHeight w:val="20"/>
        </w:trPr>
        <w:tc>
          <w:tcPr>
            <w:tcW w:w="1536" w:type="dxa"/>
            <w:vMerge w:val="restart"/>
            <w:vAlign w:val="center"/>
          </w:tcPr>
          <w:p w14:paraId="416331C4" w14:textId="77777777" w:rsidR="00CF590D" w:rsidRPr="0036597C" w:rsidRDefault="00CF590D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 w:rsidRPr="0036597C">
              <w:rPr>
                <w:b/>
                <w:bCs/>
                <w:i/>
                <w:iCs/>
                <w:sz w:val="22"/>
              </w:rPr>
              <w:t>Sistem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1578F736" w14:textId="37001A34" w:rsidR="00CF590D" w:rsidRPr="0036597C" w:rsidRDefault="00D1160A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v </w:t>
            </w:r>
            <w:r w:rsidR="00CF590D" w:rsidRPr="0036597C">
              <w:rPr>
                <w:b/>
                <w:bCs/>
                <w:i/>
                <w:iCs/>
                <w:sz w:val="22"/>
              </w:rPr>
              <w:t>=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 w:rsidR="00CF590D" w:rsidRPr="0036597C">
              <w:rPr>
                <w:b/>
                <w:bCs/>
                <w:i/>
                <w:iCs/>
                <w:sz w:val="22"/>
              </w:rPr>
              <w:t>0,5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5CB07F46" w14:textId="6CC5E607" w:rsidR="00CF590D" w:rsidRPr="0036597C" w:rsidRDefault="00D1160A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v </w:t>
            </w:r>
            <w:r w:rsidR="00CF590D" w:rsidRPr="0036597C">
              <w:rPr>
                <w:b/>
                <w:bCs/>
                <w:i/>
                <w:iCs/>
                <w:sz w:val="22"/>
              </w:rPr>
              <w:t>=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 w:rsidR="00CF590D" w:rsidRPr="0036597C">
              <w:rPr>
                <w:b/>
                <w:bCs/>
                <w:i/>
                <w:iCs/>
                <w:sz w:val="22"/>
              </w:rPr>
              <w:t>0,6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7A0F8428" w14:textId="5DB4F503" w:rsidR="00CF590D" w:rsidRPr="0036597C" w:rsidRDefault="00D1160A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v </w:t>
            </w:r>
            <w:r w:rsidR="00CF590D" w:rsidRPr="0036597C">
              <w:rPr>
                <w:b/>
                <w:bCs/>
                <w:i/>
                <w:iCs/>
                <w:sz w:val="22"/>
              </w:rPr>
              <w:t>=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 w:rsidR="00CF590D" w:rsidRPr="0036597C">
              <w:rPr>
                <w:b/>
                <w:bCs/>
                <w:i/>
                <w:iCs/>
                <w:sz w:val="22"/>
              </w:rPr>
              <w:t>0,7</w:t>
            </w:r>
          </w:p>
        </w:tc>
      </w:tr>
      <w:tr w:rsidR="00CF590D" w:rsidRPr="00CF590D" w14:paraId="5D71C8F7" w14:textId="77777777" w:rsidTr="002D0FB3">
        <w:trPr>
          <w:trHeight w:val="20"/>
        </w:trPr>
        <w:tc>
          <w:tcPr>
            <w:tcW w:w="1536" w:type="dxa"/>
            <w:vMerge/>
          </w:tcPr>
          <w:p w14:paraId="080A17C5" w14:textId="77777777" w:rsidR="00CF590D" w:rsidRPr="0036597C" w:rsidRDefault="00CF590D" w:rsidP="00CF590D">
            <w:pPr>
              <w:contextualSpacing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063EA175" w14:textId="77777777" w:rsidR="00CF590D" w:rsidRPr="0036597C" w:rsidRDefault="00CF590D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 w:rsidRPr="0036597C">
              <w:rPr>
                <w:b/>
                <w:bCs/>
                <w:i/>
                <w:iCs/>
                <w:sz w:val="22"/>
              </w:rPr>
              <w:t>Q</w:t>
            </w:r>
            <w:r w:rsidRPr="0036597C">
              <w:rPr>
                <w:b/>
                <w:bCs/>
                <w:i/>
                <w:iCs/>
                <w:sz w:val="22"/>
                <w:vertAlign w:val="subscript"/>
              </w:rPr>
              <w:t>j</w:t>
            </w:r>
          </w:p>
        </w:tc>
        <w:tc>
          <w:tcPr>
            <w:tcW w:w="1189" w:type="dxa"/>
            <w:vAlign w:val="center"/>
          </w:tcPr>
          <w:p w14:paraId="2BC4C485" w14:textId="77777777" w:rsidR="00CF590D" w:rsidRPr="0036597C" w:rsidRDefault="00CF590D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 w:rsidRPr="0036597C">
              <w:rPr>
                <w:b/>
                <w:bCs/>
                <w:i/>
                <w:iCs/>
                <w:sz w:val="22"/>
              </w:rPr>
              <w:t>Rang</w:t>
            </w:r>
          </w:p>
        </w:tc>
        <w:tc>
          <w:tcPr>
            <w:tcW w:w="1189" w:type="dxa"/>
            <w:vAlign w:val="center"/>
          </w:tcPr>
          <w:p w14:paraId="36B3F2F1" w14:textId="77777777" w:rsidR="00CF590D" w:rsidRPr="0036597C" w:rsidRDefault="00CF590D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 w:rsidRPr="0036597C">
              <w:rPr>
                <w:b/>
                <w:bCs/>
                <w:i/>
                <w:iCs/>
                <w:sz w:val="22"/>
              </w:rPr>
              <w:t>Q</w:t>
            </w:r>
            <w:r w:rsidRPr="0036597C">
              <w:rPr>
                <w:b/>
                <w:bCs/>
                <w:i/>
                <w:iCs/>
                <w:sz w:val="22"/>
                <w:vertAlign w:val="subscript"/>
              </w:rPr>
              <w:t>j</w:t>
            </w:r>
          </w:p>
        </w:tc>
        <w:tc>
          <w:tcPr>
            <w:tcW w:w="1189" w:type="dxa"/>
            <w:vAlign w:val="center"/>
          </w:tcPr>
          <w:p w14:paraId="307BCC1D" w14:textId="77777777" w:rsidR="00CF590D" w:rsidRPr="0036597C" w:rsidRDefault="00CF590D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 w:rsidRPr="0036597C">
              <w:rPr>
                <w:b/>
                <w:bCs/>
                <w:i/>
                <w:iCs/>
                <w:sz w:val="22"/>
              </w:rPr>
              <w:t>Rang</w:t>
            </w:r>
          </w:p>
        </w:tc>
        <w:tc>
          <w:tcPr>
            <w:tcW w:w="1189" w:type="dxa"/>
            <w:vAlign w:val="center"/>
          </w:tcPr>
          <w:p w14:paraId="18522FBB" w14:textId="77777777" w:rsidR="00CF590D" w:rsidRPr="0036597C" w:rsidRDefault="00CF590D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 w:rsidRPr="0036597C">
              <w:rPr>
                <w:b/>
                <w:bCs/>
                <w:i/>
                <w:iCs/>
                <w:sz w:val="22"/>
              </w:rPr>
              <w:t>Q</w:t>
            </w:r>
            <w:r w:rsidRPr="0036597C">
              <w:rPr>
                <w:b/>
                <w:bCs/>
                <w:i/>
                <w:iCs/>
                <w:sz w:val="22"/>
                <w:vertAlign w:val="subscript"/>
              </w:rPr>
              <w:t>j</w:t>
            </w:r>
          </w:p>
        </w:tc>
        <w:tc>
          <w:tcPr>
            <w:tcW w:w="1189" w:type="dxa"/>
            <w:vAlign w:val="center"/>
          </w:tcPr>
          <w:p w14:paraId="23FDDF71" w14:textId="77777777" w:rsidR="00CF590D" w:rsidRPr="0036597C" w:rsidRDefault="00CF590D" w:rsidP="00CF590D">
            <w:pPr>
              <w:contextualSpacing/>
              <w:jc w:val="center"/>
              <w:rPr>
                <w:b/>
                <w:bCs/>
                <w:i/>
                <w:iCs/>
                <w:sz w:val="22"/>
              </w:rPr>
            </w:pPr>
            <w:r w:rsidRPr="0036597C">
              <w:rPr>
                <w:b/>
                <w:bCs/>
                <w:i/>
                <w:iCs/>
                <w:sz w:val="22"/>
              </w:rPr>
              <w:t>Rang</w:t>
            </w:r>
          </w:p>
        </w:tc>
      </w:tr>
      <w:tr w:rsidR="003449FE" w:rsidRPr="00CF590D" w14:paraId="72BB8DA9" w14:textId="77777777" w:rsidTr="0083548A">
        <w:trPr>
          <w:trHeight w:val="322"/>
        </w:trPr>
        <w:tc>
          <w:tcPr>
            <w:tcW w:w="1536" w:type="dxa"/>
            <w:vAlign w:val="bottom"/>
          </w:tcPr>
          <w:p w14:paraId="7137A08A" w14:textId="77777777" w:rsidR="003449FE" w:rsidRPr="00CF590D" w:rsidRDefault="003449FE" w:rsidP="00E17D36">
            <w:pPr>
              <w:spacing w:after="0"/>
              <w:jc w:val="left"/>
              <w:rPr>
                <w:color w:val="000000"/>
                <w:sz w:val="22"/>
                <w:lang w:eastAsia="sr-Latn-RS"/>
              </w:rPr>
            </w:pPr>
            <w:r>
              <w:rPr>
                <w:sz w:val="22"/>
                <w:szCs w:val="24"/>
              </w:rPr>
              <w:t>I BTD</w:t>
            </w:r>
          </w:p>
        </w:tc>
        <w:tc>
          <w:tcPr>
            <w:tcW w:w="1188" w:type="dxa"/>
            <w:vAlign w:val="center"/>
          </w:tcPr>
          <w:p w14:paraId="7E16D526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0,153015</w:t>
            </w:r>
          </w:p>
        </w:tc>
        <w:tc>
          <w:tcPr>
            <w:tcW w:w="1189" w:type="dxa"/>
            <w:shd w:val="clear" w:color="auto" w:fill="9BBB59" w:themeFill="accent3"/>
            <w:vAlign w:val="center"/>
          </w:tcPr>
          <w:p w14:paraId="4CFC1F4B" w14:textId="77777777" w:rsidR="003449FE" w:rsidRPr="00CF590D" w:rsidRDefault="003449FE" w:rsidP="00E17D36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1</w:t>
            </w:r>
          </w:p>
        </w:tc>
        <w:tc>
          <w:tcPr>
            <w:tcW w:w="1189" w:type="dxa"/>
            <w:vAlign w:val="center"/>
          </w:tcPr>
          <w:p w14:paraId="7F497043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0,183619</w:t>
            </w:r>
          </w:p>
        </w:tc>
        <w:tc>
          <w:tcPr>
            <w:tcW w:w="1189" w:type="dxa"/>
            <w:shd w:val="clear" w:color="auto" w:fill="76923C" w:themeFill="accent3" w:themeFillShade="BF"/>
            <w:vAlign w:val="center"/>
          </w:tcPr>
          <w:p w14:paraId="3F64A962" w14:textId="77777777" w:rsidR="003449FE" w:rsidRPr="00CF590D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1</w:t>
            </w:r>
          </w:p>
        </w:tc>
        <w:tc>
          <w:tcPr>
            <w:tcW w:w="1189" w:type="dxa"/>
            <w:vAlign w:val="center"/>
          </w:tcPr>
          <w:p w14:paraId="13C2F5F0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0,214222</w:t>
            </w:r>
          </w:p>
        </w:tc>
        <w:tc>
          <w:tcPr>
            <w:tcW w:w="1189" w:type="dxa"/>
            <w:shd w:val="clear" w:color="auto" w:fill="9BBB59" w:themeFill="accent3"/>
            <w:vAlign w:val="center"/>
          </w:tcPr>
          <w:p w14:paraId="3961A9CA" w14:textId="77777777" w:rsidR="003449FE" w:rsidRPr="00CF590D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1</w:t>
            </w:r>
          </w:p>
        </w:tc>
      </w:tr>
      <w:tr w:rsidR="003449FE" w:rsidRPr="00CF590D" w14:paraId="2A131EF3" w14:textId="77777777" w:rsidTr="0083548A">
        <w:trPr>
          <w:trHeight w:val="313"/>
        </w:trPr>
        <w:tc>
          <w:tcPr>
            <w:tcW w:w="1536" w:type="dxa"/>
            <w:vAlign w:val="bottom"/>
          </w:tcPr>
          <w:p w14:paraId="20368016" w14:textId="77777777" w:rsidR="003449FE" w:rsidRPr="00CF590D" w:rsidRDefault="003449FE" w:rsidP="00E17D36">
            <w:pPr>
              <w:spacing w:after="0"/>
              <w:jc w:val="left"/>
              <w:rPr>
                <w:color w:val="000000"/>
                <w:sz w:val="22"/>
                <w:lang w:val="sr-Cyrl-RS" w:eastAsia="sr-Latn-RS"/>
              </w:rPr>
            </w:pPr>
            <w:r>
              <w:rPr>
                <w:sz w:val="22"/>
                <w:szCs w:val="24"/>
              </w:rPr>
              <w:t>II BTD</w:t>
            </w:r>
          </w:p>
        </w:tc>
        <w:tc>
          <w:tcPr>
            <w:tcW w:w="1188" w:type="dxa"/>
            <w:vAlign w:val="center"/>
          </w:tcPr>
          <w:p w14:paraId="65DC90D9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9" w:type="dxa"/>
            <w:shd w:val="clear" w:color="auto" w:fill="E5B8B7" w:themeFill="accent2" w:themeFillTint="66"/>
            <w:vAlign w:val="center"/>
          </w:tcPr>
          <w:p w14:paraId="59ADD243" w14:textId="77777777" w:rsidR="003449FE" w:rsidRPr="00CF590D" w:rsidRDefault="003449FE" w:rsidP="00E17D36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3</w:t>
            </w:r>
          </w:p>
        </w:tc>
        <w:tc>
          <w:tcPr>
            <w:tcW w:w="1189" w:type="dxa"/>
            <w:vAlign w:val="center"/>
          </w:tcPr>
          <w:p w14:paraId="7C6830B9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89" w:type="dxa"/>
            <w:shd w:val="clear" w:color="auto" w:fill="E5B8B7" w:themeFill="accent2" w:themeFillTint="66"/>
            <w:vAlign w:val="center"/>
          </w:tcPr>
          <w:p w14:paraId="442227FC" w14:textId="77777777" w:rsidR="003449FE" w:rsidRPr="00CF590D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3</w:t>
            </w:r>
          </w:p>
        </w:tc>
        <w:tc>
          <w:tcPr>
            <w:tcW w:w="1189" w:type="dxa"/>
            <w:vAlign w:val="center"/>
          </w:tcPr>
          <w:p w14:paraId="6D64D545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89" w:type="dxa"/>
            <w:shd w:val="clear" w:color="auto" w:fill="C2D69B" w:themeFill="accent3" w:themeFillTint="99"/>
            <w:vAlign w:val="center"/>
          </w:tcPr>
          <w:p w14:paraId="5056B964" w14:textId="77777777" w:rsidR="003449FE" w:rsidRPr="00CF590D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2</w:t>
            </w:r>
          </w:p>
        </w:tc>
      </w:tr>
      <w:tr w:rsidR="003449FE" w:rsidRPr="00CF590D" w14:paraId="08C0C0C0" w14:textId="77777777" w:rsidTr="0083548A">
        <w:trPr>
          <w:trHeight w:val="322"/>
        </w:trPr>
        <w:tc>
          <w:tcPr>
            <w:tcW w:w="1536" w:type="dxa"/>
            <w:vAlign w:val="bottom"/>
          </w:tcPr>
          <w:p w14:paraId="3A972027" w14:textId="77777777" w:rsidR="003449FE" w:rsidRPr="00CF590D" w:rsidRDefault="003449FE" w:rsidP="00E17D36">
            <w:pPr>
              <w:spacing w:after="0"/>
              <w:jc w:val="left"/>
              <w:rPr>
                <w:color w:val="000000"/>
                <w:sz w:val="22"/>
                <w:lang w:val="sr-Cyrl-RS" w:eastAsia="sr-Latn-RS"/>
              </w:rPr>
            </w:pPr>
            <w:r>
              <w:rPr>
                <w:sz w:val="22"/>
                <w:szCs w:val="24"/>
              </w:rPr>
              <w:t>III BTD</w:t>
            </w:r>
          </w:p>
        </w:tc>
        <w:tc>
          <w:tcPr>
            <w:tcW w:w="1188" w:type="dxa"/>
            <w:vAlign w:val="center"/>
          </w:tcPr>
          <w:p w14:paraId="52B943C5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shd w:val="clear" w:color="auto" w:fill="C0504D" w:themeFill="accent2"/>
            <w:vAlign w:val="center"/>
          </w:tcPr>
          <w:p w14:paraId="2869C0F9" w14:textId="77777777" w:rsidR="003449FE" w:rsidRPr="00CF590D" w:rsidRDefault="003449FE" w:rsidP="00E17D36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4</w:t>
            </w:r>
          </w:p>
        </w:tc>
        <w:tc>
          <w:tcPr>
            <w:tcW w:w="1189" w:type="dxa"/>
            <w:vAlign w:val="center"/>
          </w:tcPr>
          <w:p w14:paraId="7C1CD337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shd w:val="clear" w:color="auto" w:fill="943634" w:themeFill="accent2" w:themeFillShade="BF"/>
            <w:vAlign w:val="center"/>
          </w:tcPr>
          <w:p w14:paraId="78DFDF1C" w14:textId="77777777" w:rsidR="003449FE" w:rsidRPr="00CF590D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4</w:t>
            </w:r>
          </w:p>
        </w:tc>
        <w:tc>
          <w:tcPr>
            <w:tcW w:w="1189" w:type="dxa"/>
            <w:vAlign w:val="center"/>
          </w:tcPr>
          <w:p w14:paraId="3F7F385F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shd w:val="clear" w:color="auto" w:fill="C0504D" w:themeFill="accent2"/>
            <w:vAlign w:val="center"/>
          </w:tcPr>
          <w:p w14:paraId="0EA27074" w14:textId="77777777" w:rsidR="003449FE" w:rsidRPr="00CF590D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4</w:t>
            </w:r>
          </w:p>
        </w:tc>
      </w:tr>
      <w:tr w:rsidR="003449FE" w:rsidRPr="00CF590D" w14:paraId="2AA26DD3" w14:textId="77777777" w:rsidTr="0083548A">
        <w:trPr>
          <w:trHeight w:val="322"/>
        </w:trPr>
        <w:tc>
          <w:tcPr>
            <w:tcW w:w="1536" w:type="dxa"/>
            <w:vAlign w:val="bottom"/>
          </w:tcPr>
          <w:p w14:paraId="65AF3879" w14:textId="77777777" w:rsidR="003449FE" w:rsidRPr="00CF590D" w:rsidRDefault="003449FE" w:rsidP="00E17D36">
            <w:pPr>
              <w:spacing w:before="40" w:after="0"/>
              <w:jc w:val="left"/>
              <w:rPr>
                <w:color w:val="000000"/>
                <w:sz w:val="22"/>
                <w:lang w:eastAsia="sr-Latn-RS"/>
              </w:rPr>
            </w:pPr>
            <w:r>
              <w:rPr>
                <w:color w:val="000000"/>
                <w:sz w:val="22"/>
                <w:lang w:eastAsia="sr-Latn-RS"/>
              </w:rPr>
              <w:t>IV BTD</w:t>
            </w:r>
          </w:p>
        </w:tc>
        <w:tc>
          <w:tcPr>
            <w:tcW w:w="1188" w:type="dxa"/>
            <w:vAlign w:val="center"/>
          </w:tcPr>
          <w:p w14:paraId="0E16790A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0,246826</w:t>
            </w:r>
          </w:p>
        </w:tc>
        <w:tc>
          <w:tcPr>
            <w:tcW w:w="1189" w:type="dxa"/>
            <w:shd w:val="clear" w:color="auto" w:fill="D6E3BC" w:themeFill="accent3" w:themeFillTint="66"/>
            <w:vAlign w:val="center"/>
          </w:tcPr>
          <w:p w14:paraId="0F2E2A82" w14:textId="77777777" w:rsidR="003449FE" w:rsidRPr="00222DA6" w:rsidRDefault="003449FE" w:rsidP="00E17D36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2</w:t>
            </w:r>
          </w:p>
        </w:tc>
        <w:tc>
          <w:tcPr>
            <w:tcW w:w="1189" w:type="dxa"/>
            <w:vAlign w:val="center"/>
          </w:tcPr>
          <w:p w14:paraId="792187B4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0,296191</w:t>
            </w:r>
          </w:p>
        </w:tc>
        <w:tc>
          <w:tcPr>
            <w:tcW w:w="1189" w:type="dxa"/>
            <w:shd w:val="clear" w:color="auto" w:fill="C2D69B" w:themeFill="accent3" w:themeFillTint="99"/>
            <w:vAlign w:val="center"/>
          </w:tcPr>
          <w:p w14:paraId="165FF35D" w14:textId="77777777" w:rsidR="003449FE" w:rsidRPr="00222DA6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2</w:t>
            </w:r>
          </w:p>
        </w:tc>
        <w:tc>
          <w:tcPr>
            <w:tcW w:w="1189" w:type="dxa"/>
            <w:vAlign w:val="center"/>
          </w:tcPr>
          <w:p w14:paraId="7A07EAB5" w14:textId="77777777" w:rsidR="003449FE" w:rsidRPr="00CF590D" w:rsidRDefault="003449FE" w:rsidP="00CF590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F590D">
              <w:rPr>
                <w:color w:val="000000"/>
                <w:sz w:val="22"/>
                <w:szCs w:val="22"/>
              </w:rPr>
              <w:t>0,345556</w:t>
            </w:r>
          </w:p>
        </w:tc>
        <w:tc>
          <w:tcPr>
            <w:tcW w:w="1189" w:type="dxa"/>
            <w:shd w:val="clear" w:color="auto" w:fill="E5B8B7" w:themeFill="accent2" w:themeFillTint="66"/>
            <w:vAlign w:val="center"/>
          </w:tcPr>
          <w:p w14:paraId="1CC41D3D" w14:textId="77777777" w:rsidR="003449FE" w:rsidRPr="00222DA6" w:rsidRDefault="003449FE" w:rsidP="00CF590D">
            <w:pPr>
              <w:contextualSpacing/>
              <w:jc w:val="center"/>
              <w:rPr>
                <w:b/>
                <w:sz w:val="22"/>
              </w:rPr>
            </w:pPr>
            <w:r w:rsidRPr="00222DA6">
              <w:rPr>
                <w:b/>
                <w:sz w:val="22"/>
              </w:rPr>
              <w:t>3</w:t>
            </w:r>
          </w:p>
        </w:tc>
      </w:tr>
    </w:tbl>
    <w:p w14:paraId="345C0820" w14:textId="5504C90C" w:rsidR="00222DA6" w:rsidRDefault="00222DA6" w:rsidP="00222DA6">
      <w:pPr>
        <w:spacing w:before="120"/>
        <w:rPr>
          <w:rFonts w:eastAsia="Calibri" w:cs="Times New Roman"/>
          <w:lang w:val="sr-Latn-RS"/>
        </w:rPr>
      </w:pPr>
      <w:r w:rsidRPr="00222DA6">
        <w:rPr>
          <w:rFonts w:eastAsiaTheme="majorEastAsia" w:cstheme="majorBidi"/>
          <w:bCs/>
          <w:szCs w:val="24"/>
          <w:lang w:val="sr-Latn-RS"/>
        </w:rPr>
        <w:t xml:space="preserve">Na osnovu rezultata analize </w:t>
      </w:r>
      <w:r>
        <w:rPr>
          <w:rFonts w:eastAsiaTheme="majorEastAsia" w:cstheme="majorBidi"/>
          <w:bCs/>
          <w:szCs w:val="24"/>
          <w:lang w:val="sr-Latn-RS"/>
        </w:rPr>
        <w:t xml:space="preserve">dolazi se do zaključka da je I BTD sistem ostvario najbolje eksploatacione učinke za definisane parametre. IV BTD sistem je zauzeo drugo mesto, za vrednost stope </w:t>
      </w:r>
      <w:r>
        <w:rPr>
          <w:rFonts w:eastAsia="Calibri" w:cs="Times New Roman"/>
          <w:i/>
          <w:lang w:val="sr-Latn-RS"/>
        </w:rPr>
        <w:t xml:space="preserve">v = </w:t>
      </w:r>
      <w:r w:rsidRPr="00222DA6">
        <w:rPr>
          <w:rFonts w:eastAsia="Calibri" w:cs="Times New Roman"/>
          <w:lang w:val="sr-Latn-RS"/>
        </w:rPr>
        <w:t>0,5 i</w:t>
      </w:r>
      <w:r w:rsidRPr="00CF590D">
        <w:rPr>
          <w:rFonts w:eastAsia="Calibri" w:cs="Times New Roman"/>
          <w:lang w:val="sr-Latn-RS"/>
        </w:rPr>
        <w:t xml:space="preserve"> 0,6</w:t>
      </w:r>
      <w:r>
        <w:rPr>
          <w:rFonts w:eastAsia="Calibri" w:cs="Times New Roman"/>
          <w:lang w:val="sr-Latn-RS"/>
        </w:rPr>
        <w:t xml:space="preserve">. </w:t>
      </w:r>
      <w:r w:rsidR="002D0FB3">
        <w:rPr>
          <w:rFonts w:eastAsia="Calibri" w:cs="Times New Roman"/>
          <w:lang w:val="sr-Latn-RS"/>
        </w:rPr>
        <w:t>II BTD sistem je u ukupnom rangu zauzeo treću poziciju, dok III BTD sistem ima najlošije rezultate.</w:t>
      </w:r>
    </w:p>
    <w:p w14:paraId="49B0909C" w14:textId="77777777" w:rsidR="00222DA6" w:rsidRPr="00180613" w:rsidRDefault="00222DA6" w:rsidP="00AF3EC7">
      <w:pPr>
        <w:spacing w:before="120"/>
        <w:rPr>
          <w:rFonts w:eastAsia="Calibri" w:cs="Times New Roman"/>
          <w:lang w:val="sr-Latn-RS"/>
        </w:rPr>
      </w:pPr>
      <w:r>
        <w:rPr>
          <w:rFonts w:eastAsia="Calibri" w:cs="Times New Roman"/>
          <w:lang w:val="sr-Latn-RS"/>
        </w:rPr>
        <w:lastRenderedPageBreak/>
        <w:t xml:space="preserve">Vrednost preferencija za parametre koji se odnose na ostvarenu proizvodnju, efektivno vreme rada, </w:t>
      </w:r>
      <w:r>
        <w:rPr>
          <w:rFonts w:eastAsia="Calibri" w:cs="Times New Roman"/>
          <w:i/>
          <w:lang w:val="sr-Latn-RS"/>
        </w:rPr>
        <w:t>k</w:t>
      </w:r>
      <w:r>
        <w:rPr>
          <w:rFonts w:eastAsia="Calibri" w:cs="Times New Roman"/>
          <w:i/>
          <w:vertAlign w:val="subscript"/>
          <w:lang w:val="sr-Latn-RS"/>
        </w:rPr>
        <w:t>t</w:t>
      </w:r>
      <w:r>
        <w:rPr>
          <w:rFonts w:eastAsia="Calibri" w:cs="Times New Roman"/>
          <w:lang w:val="sr-Latn-RS"/>
        </w:rPr>
        <w:t xml:space="preserve">, </w:t>
      </w:r>
      <w:r>
        <w:rPr>
          <w:rFonts w:eastAsia="Calibri" w:cs="Times New Roman"/>
          <w:i/>
          <w:lang w:val="sr-Latn-RS"/>
        </w:rPr>
        <w:t>k</w:t>
      </w:r>
      <w:r>
        <w:rPr>
          <w:rFonts w:eastAsia="Calibri" w:cs="Times New Roman"/>
          <w:i/>
          <w:vertAlign w:val="subscript"/>
          <w:lang w:val="sr-Latn-RS"/>
        </w:rPr>
        <w:t>q</w:t>
      </w:r>
      <w:r>
        <w:rPr>
          <w:rFonts w:eastAsia="Calibri" w:cs="Times New Roman"/>
          <w:lang w:val="sr-Latn-RS"/>
        </w:rPr>
        <w:t xml:space="preserve"> iznosile su 0,11, dok preferencije za grupe zastoje iznose 0,1. Na taj način u postavci modela blaga prednost data je parametrima koji su u direktnoj korelaciji sa </w:t>
      </w:r>
      <w:r w:rsidR="00D127B1">
        <w:rPr>
          <w:rFonts w:eastAsia="Calibri" w:cs="Times New Roman"/>
          <w:lang w:val="sr-Latn-RS"/>
        </w:rPr>
        <w:t>proizvodnim</w:t>
      </w:r>
      <w:r>
        <w:rPr>
          <w:rFonts w:eastAsia="Calibri" w:cs="Times New Roman"/>
          <w:lang w:val="sr-Latn-RS"/>
        </w:rPr>
        <w:t xml:space="preserve"> učincima. Iste preferencije zadržane su i kod TOPSIS metode.  </w:t>
      </w:r>
    </w:p>
    <w:p w14:paraId="15A89A79" w14:textId="77777777" w:rsidR="00222DA6" w:rsidRPr="00222DA6" w:rsidRDefault="00A3797B" w:rsidP="00222DA6">
      <w:pPr>
        <w:pStyle w:val="ListParagraph"/>
        <w:numPr>
          <w:ilvl w:val="1"/>
          <w:numId w:val="2"/>
        </w:numPr>
        <w:spacing w:before="300"/>
        <w:ind w:left="357" w:hanging="357"/>
        <w:contextualSpacing w:val="0"/>
        <w:rPr>
          <w:rFonts w:eastAsiaTheme="majorEastAsia" w:cstheme="majorBidi"/>
          <w:b/>
          <w:bCs/>
          <w:szCs w:val="24"/>
          <w:lang w:val="sr-Latn-RS"/>
        </w:rPr>
      </w:pPr>
      <w:r>
        <w:rPr>
          <w:rFonts w:eastAsiaTheme="majorEastAsia" w:cstheme="majorBidi"/>
          <w:b/>
          <w:bCs/>
          <w:szCs w:val="24"/>
          <w:lang w:val="sr-Latn-RS"/>
        </w:rPr>
        <w:t>TOPSIS</w:t>
      </w:r>
      <w:r w:rsidRPr="00A3797B">
        <w:rPr>
          <w:rFonts w:eastAsiaTheme="majorEastAsia" w:cstheme="majorBidi"/>
          <w:b/>
          <w:bCs/>
          <w:szCs w:val="24"/>
          <w:lang w:val="sr-Latn-RS"/>
        </w:rPr>
        <w:t xml:space="preserve"> metoda</w:t>
      </w:r>
    </w:p>
    <w:p w14:paraId="003AD9B8" w14:textId="77777777" w:rsidR="00A3797B" w:rsidRDefault="00A3797B" w:rsidP="00A3797B">
      <w:pPr>
        <w:spacing w:before="120"/>
        <w:rPr>
          <w:szCs w:val="24"/>
          <w:lang w:val="sr-Latn-RS"/>
        </w:rPr>
      </w:pPr>
      <w:r>
        <w:rPr>
          <w:szCs w:val="24"/>
          <w:lang w:val="sr-Latn-RS"/>
        </w:rPr>
        <w:t>Za ovu metodu kao i za VIKOR, koriste se isti kriterijumi</w:t>
      </w:r>
      <w:r w:rsidRPr="00A3797B">
        <w:rPr>
          <w:szCs w:val="24"/>
          <w:lang w:val="sr-Latn-RS"/>
        </w:rPr>
        <w:t xml:space="preserve">. Kada su poznata odstupanja od idealnog i anti–idealnog rešenja, za svaku od alternativa određuje se relativna blizina idealnom rešenju. Zatim se vrši rangiranje alternativa po opadajućim vrednostima </w:t>
      </w:r>
      <w:r w:rsidRPr="00015B48">
        <w:rPr>
          <w:i/>
          <w:szCs w:val="24"/>
          <w:lang w:val="sr-Latn-RS"/>
        </w:rPr>
        <w:t>RCi</w:t>
      </w:r>
      <w:r w:rsidRPr="00A3797B">
        <w:rPr>
          <w:szCs w:val="24"/>
          <w:lang w:val="sr-Latn-RS"/>
        </w:rPr>
        <w:t>+.</w:t>
      </w:r>
    </w:p>
    <w:p w14:paraId="6CBF1F70" w14:textId="77777777" w:rsidR="00A3797B" w:rsidRPr="00A3797B" w:rsidRDefault="00A3797B" w:rsidP="00A3797B">
      <w:pPr>
        <w:spacing w:before="120" w:after="20" w:line="240" w:lineRule="auto"/>
        <w:jc w:val="center"/>
        <w:rPr>
          <w:rFonts w:eastAsia="Times New Roman" w:cs="Times New Roman"/>
          <w:i/>
          <w:szCs w:val="24"/>
          <w:lang w:val="sr-Cyrl-RS"/>
        </w:rPr>
      </w:pPr>
      <w:r w:rsidRPr="00A3797B">
        <w:rPr>
          <w:rFonts w:eastAsia="Times New Roman" w:cs="Times New Roman"/>
          <w:i/>
          <w:szCs w:val="24"/>
          <w:lang w:val="sr-Cyrl-RS"/>
        </w:rPr>
        <w:t xml:space="preserve">Tabela </w:t>
      </w:r>
      <w:r w:rsidR="00DA18BC">
        <w:rPr>
          <w:rFonts w:eastAsia="Times New Roman" w:cs="Times New Roman"/>
          <w:i/>
          <w:szCs w:val="24"/>
          <w:lang w:val="sr-Latn-RS"/>
        </w:rPr>
        <w:t>4</w:t>
      </w:r>
      <w:r w:rsidRPr="00A3797B">
        <w:rPr>
          <w:rFonts w:eastAsia="Times New Roman" w:cs="Times New Roman"/>
          <w:i/>
          <w:szCs w:val="24"/>
          <w:lang w:val="sr-Cyrl-RS"/>
        </w:rPr>
        <w:t>.</w:t>
      </w:r>
      <w:r w:rsidR="00DA18BC">
        <w:rPr>
          <w:rFonts w:eastAsia="Times New Roman" w:cs="Times New Roman"/>
          <w:i/>
          <w:szCs w:val="24"/>
          <w:lang w:val="sr-Latn-RS"/>
        </w:rPr>
        <w:t>3</w:t>
      </w:r>
      <w:r w:rsidRPr="00A3797B">
        <w:rPr>
          <w:rFonts w:eastAsia="Times New Roman" w:cs="Times New Roman"/>
          <w:i/>
          <w:szCs w:val="24"/>
          <w:lang w:val="sr-Cyrl-RS"/>
        </w:rPr>
        <w:t xml:space="preserve"> Rangiranje alternativa po metodi TOPSIS</w:t>
      </w:r>
    </w:p>
    <w:tbl>
      <w:tblPr>
        <w:tblW w:w="5069" w:type="dxa"/>
        <w:jc w:val="center"/>
        <w:tblLook w:val="04A0" w:firstRow="1" w:lastRow="0" w:firstColumn="1" w:lastColumn="0" w:noHBand="0" w:noVBand="1"/>
      </w:tblPr>
      <w:tblGrid>
        <w:gridCol w:w="2438"/>
        <w:gridCol w:w="1371"/>
        <w:gridCol w:w="1260"/>
      </w:tblGrid>
      <w:tr w:rsidR="00A3797B" w:rsidRPr="00A3797B" w14:paraId="1F3E94C9" w14:textId="77777777" w:rsidTr="00A3797B">
        <w:trPr>
          <w:trHeight w:val="360"/>
          <w:jc w:val="center"/>
        </w:trPr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B260359" w14:textId="77777777" w:rsidR="00A3797B" w:rsidRPr="00C55C8B" w:rsidRDefault="00A3797B" w:rsidP="00A3797B">
            <w:pPr>
              <w:spacing w:after="0" w:line="240" w:lineRule="auto"/>
              <w:jc w:val="left"/>
              <w:rPr>
                <w:rFonts w:eastAsia="Times New Roman" w:cs="Times New Roman"/>
                <w:b/>
                <w:i/>
                <w:iCs/>
                <w:color w:val="757171"/>
                <w:sz w:val="22"/>
                <w:lang w:val="sr-Latn-RS" w:eastAsia="sr-Latn-RS"/>
              </w:rPr>
            </w:pPr>
            <w:r w:rsidRPr="00C55C8B">
              <w:rPr>
                <w:rFonts w:eastAsia="Times New Roman" w:cs="Times New Roman"/>
                <w:b/>
                <w:i/>
                <w:iCs/>
                <w:sz w:val="22"/>
                <w:lang w:val="sr-Latn-RS" w:eastAsia="sr-Latn-RS"/>
              </w:rPr>
              <w:t>Sistem</w:t>
            </w:r>
          </w:p>
        </w:tc>
        <w:tc>
          <w:tcPr>
            <w:tcW w:w="13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C5B58B3" w14:textId="77777777" w:rsidR="00A3797B" w:rsidRPr="00C55C8B" w:rsidRDefault="00A3797B" w:rsidP="00A3797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val="sr-Cyrl-RS" w:eastAsia="sr-Latn-RS"/>
              </w:rPr>
            </w:pPr>
            <w:r w:rsidRPr="00C55C8B">
              <w:rPr>
                <w:b/>
                <w:i/>
                <w:iCs/>
                <w:szCs w:val="24"/>
                <w:lang w:val="sr-Latn-RS"/>
              </w:rPr>
              <w:t>RCi+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766D678" w14:textId="77777777" w:rsidR="00A3797B" w:rsidRPr="00C55C8B" w:rsidRDefault="00A3797B" w:rsidP="00A3797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val="sr-Latn-RS" w:eastAsia="sr-Latn-RS"/>
              </w:rPr>
            </w:pPr>
            <w:r w:rsidRPr="00C55C8B">
              <w:rPr>
                <w:rFonts w:eastAsia="Times New Roman" w:cs="Times New Roman"/>
                <w:b/>
                <w:i/>
                <w:iCs/>
                <w:color w:val="000000"/>
                <w:sz w:val="22"/>
                <w:lang w:val="sr-Latn-RS" w:eastAsia="sr-Latn-RS"/>
              </w:rPr>
              <w:t>Rang</w:t>
            </w:r>
          </w:p>
        </w:tc>
      </w:tr>
      <w:tr w:rsidR="00A3797B" w:rsidRPr="00A3797B" w14:paraId="546B7A1C" w14:textId="77777777" w:rsidTr="00A3797B">
        <w:trPr>
          <w:trHeight w:val="36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DE98AB" w14:textId="77777777" w:rsidR="00A3797B" w:rsidRPr="00CF590D" w:rsidRDefault="00A3797B" w:rsidP="00A0012C">
            <w:pPr>
              <w:spacing w:after="2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val="sr-Latn-RS" w:eastAsia="sr-Latn-RS"/>
              </w:rPr>
            </w:pPr>
            <w:r>
              <w:rPr>
                <w:rFonts w:eastAsia="Times New Roman" w:cs="Times New Roman"/>
                <w:sz w:val="22"/>
                <w:szCs w:val="24"/>
                <w:lang w:val="sr-Latn-RS"/>
              </w:rPr>
              <w:t>I BTD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93B40E" w14:textId="77777777" w:rsidR="00A3797B" w:rsidRPr="00A3797B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sr-Latn-RS" w:eastAsia="sr-Latn-RS"/>
              </w:rPr>
            </w:pPr>
            <w:r>
              <w:rPr>
                <w:rFonts w:eastAsia="Times New Roman" w:cs="Times New Roman"/>
                <w:color w:val="000000"/>
                <w:sz w:val="22"/>
                <w:lang w:val="sr-Latn-RS" w:eastAsia="sr-Latn-RS"/>
              </w:rPr>
              <w:t>0,576238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6F786B" w14:textId="77777777" w:rsidR="00A3797B" w:rsidRPr="00A3797B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 w:eastAsia="sr-Latn-RS"/>
              </w:rPr>
            </w:pPr>
            <w:r w:rsidRPr="00222DA6">
              <w:rPr>
                <w:rFonts w:eastAsia="Times New Roman" w:cs="Times New Roman"/>
                <w:b/>
                <w:bCs/>
                <w:sz w:val="22"/>
                <w:lang w:val="sr-Latn-RS"/>
              </w:rPr>
              <w:t>1</w:t>
            </w:r>
          </w:p>
        </w:tc>
      </w:tr>
      <w:tr w:rsidR="00A3797B" w:rsidRPr="00A3797B" w14:paraId="572BFC55" w14:textId="77777777" w:rsidTr="00A3797B">
        <w:trPr>
          <w:trHeight w:val="36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386AD3" w14:textId="77777777" w:rsidR="00A3797B" w:rsidRPr="00CF590D" w:rsidRDefault="00A3797B" w:rsidP="00A3797B">
            <w:pPr>
              <w:spacing w:before="20" w:after="2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val="sr-Cyrl-RS" w:eastAsia="sr-Latn-RS"/>
              </w:rPr>
            </w:pPr>
            <w:r>
              <w:rPr>
                <w:rFonts w:eastAsia="Times New Roman" w:cs="Times New Roman"/>
                <w:sz w:val="22"/>
                <w:szCs w:val="24"/>
                <w:lang w:val="sr-Latn-RS"/>
              </w:rPr>
              <w:t>II BTD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166F4A6" w14:textId="77777777" w:rsidR="00A3797B" w:rsidRPr="00A3797B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sr-Latn-RS" w:eastAsia="sr-Latn-RS"/>
              </w:rPr>
            </w:pPr>
            <w:r>
              <w:rPr>
                <w:rFonts w:eastAsia="Times New Roman" w:cs="Times New Roman"/>
                <w:color w:val="000000"/>
                <w:sz w:val="22"/>
                <w:lang w:val="sr-Latn-RS" w:eastAsia="sr-Latn-RS"/>
              </w:rPr>
              <w:t>0,553039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C44F89" w14:textId="77777777" w:rsidR="00A3797B" w:rsidRPr="00A3797B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Cyrl-RS" w:eastAsia="sr-Latn-RS"/>
              </w:rPr>
            </w:pPr>
            <w:r w:rsidRPr="00A3797B">
              <w:rPr>
                <w:rFonts w:eastAsia="Times New Roman" w:cs="Times New Roman"/>
                <w:b/>
                <w:bCs/>
                <w:sz w:val="22"/>
                <w:lang w:val="sr-Cyrl-RS"/>
              </w:rPr>
              <w:t>2</w:t>
            </w:r>
          </w:p>
        </w:tc>
      </w:tr>
      <w:tr w:rsidR="00A3797B" w:rsidRPr="00A3797B" w14:paraId="258B5281" w14:textId="77777777" w:rsidTr="00A3797B">
        <w:trPr>
          <w:trHeight w:val="360"/>
          <w:jc w:val="center"/>
        </w:trPr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7C203F" w14:textId="77777777" w:rsidR="00A3797B" w:rsidRPr="00CF590D" w:rsidRDefault="00A3797B" w:rsidP="00A3797B">
            <w:pPr>
              <w:spacing w:before="20" w:after="2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0"/>
                <w:lang w:val="sr-Cyrl-RS" w:eastAsia="sr-Latn-RS"/>
              </w:rPr>
            </w:pPr>
            <w:r>
              <w:rPr>
                <w:rFonts w:eastAsia="Times New Roman" w:cs="Times New Roman"/>
                <w:sz w:val="22"/>
                <w:szCs w:val="24"/>
                <w:lang w:val="sr-Latn-RS"/>
              </w:rPr>
              <w:t>III BTD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DEDE2C9" w14:textId="77777777" w:rsidR="00A3797B" w:rsidRPr="00A3797B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sr-Latn-RS" w:eastAsia="sr-Latn-RS"/>
              </w:rPr>
            </w:pPr>
            <w:r>
              <w:rPr>
                <w:rFonts w:eastAsia="Times New Roman" w:cs="Times New Roman"/>
                <w:color w:val="000000"/>
                <w:sz w:val="22"/>
                <w:lang w:val="sr-Latn-RS" w:eastAsia="sr-Latn-RS"/>
              </w:rPr>
              <w:t>0,36456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2200F4" w14:textId="77777777" w:rsidR="00A3797B" w:rsidRPr="00A3797B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 w:eastAsia="sr-Latn-RS"/>
              </w:rPr>
            </w:pPr>
            <w:r w:rsidRPr="00222DA6">
              <w:rPr>
                <w:rFonts w:eastAsia="Times New Roman" w:cs="Times New Roman"/>
                <w:b/>
                <w:bCs/>
                <w:sz w:val="22"/>
                <w:lang w:val="sr-Latn-RS"/>
              </w:rPr>
              <w:t>4</w:t>
            </w:r>
          </w:p>
        </w:tc>
      </w:tr>
      <w:tr w:rsidR="00A3797B" w:rsidRPr="00A3797B" w14:paraId="2AD363E9" w14:textId="77777777" w:rsidTr="00A3797B">
        <w:trPr>
          <w:trHeight w:val="360"/>
          <w:jc w:val="center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CE8EBBD" w14:textId="77777777" w:rsidR="00A3797B" w:rsidRDefault="00A3797B" w:rsidP="00A3797B">
            <w:pPr>
              <w:spacing w:before="20" w:after="20" w:line="240" w:lineRule="auto"/>
              <w:jc w:val="left"/>
              <w:rPr>
                <w:rFonts w:eastAsia="Times New Roman" w:cs="Times New Roman"/>
                <w:sz w:val="22"/>
                <w:szCs w:val="24"/>
                <w:lang w:val="sr-Latn-RS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sr-Latn-RS" w:eastAsia="sr-Latn-RS"/>
              </w:rPr>
              <w:t>IV BTD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EA89970" w14:textId="77777777" w:rsidR="00A3797B" w:rsidRPr="00A3797B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val="sr-Latn-RS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val="sr-Latn-RS"/>
              </w:rPr>
              <w:t>0,389681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5132731" w14:textId="77777777" w:rsidR="00A3797B" w:rsidRPr="00222DA6" w:rsidRDefault="00A3797B" w:rsidP="00A3797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/>
              </w:rPr>
            </w:pPr>
            <w:r w:rsidRPr="00222DA6">
              <w:rPr>
                <w:rFonts w:eastAsia="Times New Roman" w:cs="Times New Roman"/>
                <w:b/>
                <w:bCs/>
                <w:sz w:val="22"/>
                <w:lang w:val="sr-Latn-RS"/>
              </w:rPr>
              <w:t>3</w:t>
            </w:r>
          </w:p>
        </w:tc>
      </w:tr>
    </w:tbl>
    <w:p w14:paraId="0AACA4B5" w14:textId="77777777" w:rsidR="00A3797B" w:rsidRDefault="00D127B1" w:rsidP="00AF3EC7">
      <w:pPr>
        <w:spacing w:before="200"/>
        <w:rPr>
          <w:szCs w:val="24"/>
          <w:lang w:val="sr-Latn-RS"/>
        </w:rPr>
      </w:pPr>
      <w:r>
        <w:rPr>
          <w:szCs w:val="24"/>
          <w:lang w:val="sr-Latn-RS"/>
        </w:rPr>
        <w:t xml:space="preserve">Slično rangu prema prethodnoj metodi, najbolje rezultate primenom TOPSIS metode ostvario je I BTD sistem. I u ovom slučaju, III BTD sistem je zauzeo poslednje mesto. </w:t>
      </w:r>
    </w:p>
    <w:p w14:paraId="1C377D09" w14:textId="77777777" w:rsidR="00D127B1" w:rsidRPr="00D127B1" w:rsidRDefault="00D127B1" w:rsidP="00AF3EC7">
      <w:pPr>
        <w:pStyle w:val="ListParagraph"/>
        <w:numPr>
          <w:ilvl w:val="1"/>
          <w:numId w:val="2"/>
        </w:numPr>
        <w:spacing w:before="240"/>
        <w:ind w:left="357" w:hanging="357"/>
        <w:contextualSpacing w:val="0"/>
        <w:rPr>
          <w:b/>
          <w:szCs w:val="24"/>
          <w:lang w:val="sr-Latn-RS"/>
        </w:rPr>
      </w:pPr>
      <w:r w:rsidRPr="00D127B1">
        <w:rPr>
          <w:b/>
          <w:szCs w:val="24"/>
          <w:lang w:val="sr-Latn-RS"/>
        </w:rPr>
        <w:t>Uporedni prikaz dobijenih rezultata</w:t>
      </w:r>
    </w:p>
    <w:p w14:paraId="17C48E79" w14:textId="77777777" w:rsidR="00D127B1" w:rsidRPr="00D127B1" w:rsidRDefault="00D127B1" w:rsidP="00D127B1">
      <w:pPr>
        <w:spacing w:before="120"/>
        <w:rPr>
          <w:szCs w:val="24"/>
          <w:lang w:val="sr-Latn-RS"/>
        </w:rPr>
      </w:pPr>
      <w:r>
        <w:rPr>
          <w:szCs w:val="24"/>
          <w:lang w:val="sr-Latn-RS"/>
        </w:rPr>
        <w:t xml:space="preserve">Na osnovu </w:t>
      </w:r>
      <w:r>
        <w:rPr>
          <w:rFonts w:eastAsia="Calibri" w:cs="Times New Roman"/>
          <w:lang w:val="sr-Latn-RS"/>
        </w:rPr>
        <w:t xml:space="preserve">ostvarene proizvodnje, efektivnog vremena rada, </w:t>
      </w:r>
      <w:r>
        <w:rPr>
          <w:rFonts w:eastAsia="Calibri" w:cs="Times New Roman"/>
          <w:i/>
          <w:lang w:val="sr-Latn-RS"/>
        </w:rPr>
        <w:t>k</w:t>
      </w:r>
      <w:r>
        <w:rPr>
          <w:rFonts w:eastAsia="Calibri" w:cs="Times New Roman"/>
          <w:i/>
          <w:vertAlign w:val="subscript"/>
          <w:lang w:val="sr-Latn-RS"/>
        </w:rPr>
        <w:t>t</w:t>
      </w:r>
      <w:r w:rsidR="005157E4">
        <w:rPr>
          <w:rFonts w:eastAsia="Calibri" w:cs="Times New Roman"/>
          <w:lang w:val="sr-Latn-RS"/>
        </w:rPr>
        <w:t xml:space="preserve">, </w:t>
      </w:r>
      <w:r>
        <w:rPr>
          <w:rFonts w:eastAsia="Calibri" w:cs="Times New Roman"/>
          <w:i/>
          <w:lang w:val="sr-Latn-RS"/>
        </w:rPr>
        <w:t>k</w:t>
      </w:r>
      <w:r>
        <w:rPr>
          <w:rFonts w:eastAsia="Calibri" w:cs="Times New Roman"/>
          <w:i/>
          <w:vertAlign w:val="subscript"/>
          <w:lang w:val="sr-Latn-RS"/>
        </w:rPr>
        <w:t>q</w:t>
      </w:r>
      <w:r>
        <w:rPr>
          <w:rFonts w:eastAsia="Calibri" w:cs="Times New Roman"/>
          <w:lang w:val="sr-Latn-RS"/>
        </w:rPr>
        <w:t xml:space="preserve"> i ukupnih zastoja, izvršeno je rangiranje ugljenih sistema. </w:t>
      </w:r>
      <w:r w:rsidRPr="00D127B1">
        <w:rPr>
          <w:szCs w:val="24"/>
          <w:lang w:val="sr-Latn-RS"/>
        </w:rPr>
        <w:t xml:space="preserve">Radi lakšeg sagledavanja i konačnog </w:t>
      </w:r>
      <w:r>
        <w:rPr>
          <w:szCs w:val="24"/>
          <w:lang w:val="sr-Latn-RS"/>
        </w:rPr>
        <w:t xml:space="preserve">odlučivanja </w:t>
      </w:r>
      <w:r w:rsidR="00EB49F2">
        <w:rPr>
          <w:szCs w:val="24"/>
          <w:lang w:val="sr-Latn-RS"/>
        </w:rPr>
        <w:t>koja od ponuđenih alternativa je ostvarila najbolje rezultate</w:t>
      </w:r>
      <w:r>
        <w:rPr>
          <w:szCs w:val="24"/>
          <w:lang w:val="sr-Latn-RS"/>
        </w:rPr>
        <w:t xml:space="preserve">, </w:t>
      </w:r>
      <w:r w:rsidR="00EB49F2">
        <w:rPr>
          <w:szCs w:val="24"/>
          <w:lang w:val="sr-Latn-RS"/>
        </w:rPr>
        <w:t xml:space="preserve">dat je zbirni </w:t>
      </w:r>
      <w:r w:rsidRPr="00D127B1">
        <w:rPr>
          <w:szCs w:val="24"/>
          <w:lang w:val="sr-Latn-RS"/>
        </w:rPr>
        <w:t>prikaz.</w:t>
      </w:r>
    </w:p>
    <w:p w14:paraId="6A9A8761" w14:textId="77777777" w:rsidR="00EB49F2" w:rsidRPr="0094043C" w:rsidRDefault="00EB49F2" w:rsidP="0094043C">
      <w:pPr>
        <w:spacing w:before="120" w:after="20"/>
        <w:jc w:val="center"/>
        <w:rPr>
          <w:i/>
          <w:szCs w:val="24"/>
          <w:lang w:val="sr-Latn-RS"/>
        </w:rPr>
      </w:pPr>
      <w:r w:rsidRPr="0094043C">
        <w:rPr>
          <w:i/>
          <w:noProof/>
          <w:szCs w:val="24"/>
        </w:rPr>
        <w:drawing>
          <wp:inline distT="0" distB="0" distL="0" distR="0" wp14:anchorId="1FFEC42E" wp14:editId="0BB8E045">
            <wp:extent cx="3633787" cy="2184296"/>
            <wp:effectExtent l="0" t="0" r="508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32" cy="219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882C2" w14:textId="77777777" w:rsidR="0094043C" w:rsidRDefault="0094043C" w:rsidP="0094043C">
      <w:pPr>
        <w:spacing w:before="20"/>
        <w:jc w:val="center"/>
        <w:rPr>
          <w:i/>
          <w:szCs w:val="24"/>
          <w:lang w:val="sr-Latn-RS"/>
        </w:rPr>
      </w:pPr>
      <w:r w:rsidRPr="0094043C">
        <w:rPr>
          <w:i/>
          <w:szCs w:val="24"/>
          <w:lang w:val="sr-Latn-RS"/>
        </w:rPr>
        <w:t>Slika 4.1 Uporedni prikaz rezultata primene VIKOR i TOPSIS metode</w:t>
      </w:r>
    </w:p>
    <w:p w14:paraId="09CD233F" w14:textId="77777777" w:rsidR="0094043C" w:rsidRDefault="0094043C" w:rsidP="00180613">
      <w:pPr>
        <w:spacing w:after="300"/>
        <w:rPr>
          <w:lang w:val="sr-Latn-RS"/>
        </w:rPr>
      </w:pPr>
      <w:r>
        <w:rPr>
          <w:lang w:val="sr-Latn-RS"/>
        </w:rPr>
        <w:t xml:space="preserve">Kod VIKOR metode u obzir je uzet jedinstveni rang sistema za različite stope </w:t>
      </w:r>
      <w:r>
        <w:rPr>
          <w:i/>
          <w:lang w:val="sr-Latn-RS"/>
        </w:rPr>
        <w:t>v</w:t>
      </w:r>
      <w:r>
        <w:rPr>
          <w:lang w:val="sr-Latn-RS"/>
        </w:rPr>
        <w:t xml:space="preserve"> = 0,5; 0,6 i 0,7, kako bi bio uporediv sa rezultatima TOPSIS metode. Iz grafičkog prikaza uočava se da je I BTD sistem ostvario najbolje rezultate kod obe metode. III BTD sistem je zauzeo poslednje mesto, dok su se II i IV BTD sistem plasirali na drugo, odnosno treće mesto, respektivno. </w:t>
      </w:r>
    </w:p>
    <w:p w14:paraId="1DCDE867" w14:textId="77777777" w:rsidR="00727198" w:rsidRDefault="00727198" w:rsidP="00180613">
      <w:pPr>
        <w:spacing w:after="300"/>
        <w:rPr>
          <w:lang w:val="sr-Latn-RS"/>
        </w:rPr>
      </w:pPr>
    </w:p>
    <w:p w14:paraId="7F5979F3" w14:textId="77777777" w:rsidR="002D134B" w:rsidRDefault="002D134B" w:rsidP="002D134B">
      <w:pPr>
        <w:pStyle w:val="ListParagraph"/>
        <w:numPr>
          <w:ilvl w:val="0"/>
          <w:numId w:val="2"/>
        </w:numPr>
        <w:rPr>
          <w:b/>
          <w:lang w:val="sr-Latn-RS"/>
        </w:rPr>
      </w:pPr>
      <w:r w:rsidRPr="002D134B">
        <w:rPr>
          <w:b/>
          <w:lang w:val="sr-Latn-RS"/>
        </w:rPr>
        <w:lastRenderedPageBreak/>
        <w:t xml:space="preserve">Zaključak </w:t>
      </w:r>
    </w:p>
    <w:p w14:paraId="240286A6" w14:textId="77777777" w:rsidR="003445C6" w:rsidRDefault="002D134B" w:rsidP="002D134B">
      <w:pPr>
        <w:rPr>
          <w:lang w:val="sr-Latn-RS"/>
        </w:rPr>
      </w:pPr>
      <w:r>
        <w:rPr>
          <w:lang w:val="sr-Latn-RS"/>
        </w:rPr>
        <w:t>Cilj ovog rada</w:t>
      </w:r>
      <w:r w:rsidR="00A65D95">
        <w:rPr>
          <w:lang w:val="sr-Latn-RS"/>
        </w:rPr>
        <w:t xml:space="preserve"> bio</w:t>
      </w:r>
      <w:r>
        <w:rPr>
          <w:lang w:val="sr-Latn-RS"/>
        </w:rPr>
        <w:t xml:space="preserve"> je analiziranje eksploatacionih učinaka ugljenih sistema na površinskom kopu Tamnava–Zapadno polje za period od januara do juna meseca 2021. godine. </w:t>
      </w:r>
    </w:p>
    <w:p w14:paraId="7862187D" w14:textId="3CF97067" w:rsidR="00C55C8B" w:rsidRDefault="002D134B" w:rsidP="002D134B">
      <w:pPr>
        <w:rPr>
          <w:lang w:val="sr-Latn-RS"/>
        </w:rPr>
      </w:pPr>
      <w:r>
        <w:rPr>
          <w:lang w:val="sr-Latn-RS"/>
        </w:rPr>
        <w:t>U prvom delu rada predstavljena je struktura opreme za otkopavanje uglja, definisanje ulaznih parametara i pri</w:t>
      </w:r>
      <w:r w:rsidR="001C4788">
        <w:rPr>
          <w:lang w:val="sr-Latn-RS"/>
        </w:rPr>
        <w:t>menjena metodologija za ocenjivanje</w:t>
      </w:r>
      <w:r>
        <w:rPr>
          <w:lang w:val="sr-Latn-RS"/>
        </w:rPr>
        <w:t xml:space="preserve"> efikasnosti rada sistema. Eksploatacija uglja izvodi se pomoću četiri BTD sistema I, II, III i IV. </w:t>
      </w:r>
      <w:r w:rsidR="003445C6">
        <w:rPr>
          <w:lang w:val="sr-Latn-RS"/>
        </w:rPr>
        <w:t>Za primenu metodologije uzeti su</w:t>
      </w:r>
      <w:r w:rsidR="002C1465">
        <w:rPr>
          <w:lang w:val="sr-Latn-RS"/>
        </w:rPr>
        <w:t xml:space="preserve"> najb</w:t>
      </w:r>
      <w:r w:rsidR="005157E4">
        <w:rPr>
          <w:lang w:val="sr-Latn-RS"/>
        </w:rPr>
        <w:t>itniji parametri koji utiču na</w:t>
      </w:r>
      <w:r w:rsidR="001C4788">
        <w:rPr>
          <w:lang w:val="sr-Latn-RS"/>
        </w:rPr>
        <w:t xml:space="preserve"> </w:t>
      </w:r>
      <w:r w:rsidR="005157E4">
        <w:rPr>
          <w:lang w:val="sr-Latn-RS"/>
        </w:rPr>
        <w:t>pokazatelje efikasnosti</w:t>
      </w:r>
      <w:r w:rsidR="003445C6">
        <w:rPr>
          <w:lang w:val="sr-Latn-RS"/>
        </w:rPr>
        <w:t xml:space="preserve"> rada ugljenog sistema</w:t>
      </w:r>
      <w:r w:rsidR="002C1465">
        <w:rPr>
          <w:lang w:val="sr-Latn-RS"/>
        </w:rPr>
        <w:t>: ostvarena proizvodnja</w:t>
      </w:r>
      <w:r w:rsidR="003445C6">
        <w:rPr>
          <w:lang w:val="sr-Latn-RS"/>
        </w:rPr>
        <w:t xml:space="preserve"> uglja</w:t>
      </w:r>
      <w:r w:rsidR="002C1465">
        <w:rPr>
          <w:lang w:val="sr-Latn-RS"/>
        </w:rPr>
        <w:t>, kvalitet  uglja, efektivno vreme rada</w:t>
      </w:r>
      <w:r w:rsidR="003445C6">
        <w:rPr>
          <w:lang w:val="sr-Latn-RS"/>
        </w:rPr>
        <w:t xml:space="preserve"> sistema</w:t>
      </w:r>
      <w:r w:rsidR="002C1465">
        <w:rPr>
          <w:lang w:val="sr-Latn-RS"/>
        </w:rPr>
        <w:t>, ko</w:t>
      </w:r>
      <w:r w:rsidR="005157E4">
        <w:rPr>
          <w:lang w:val="sr-Latn-RS"/>
        </w:rPr>
        <w:t>e</w:t>
      </w:r>
      <w:r w:rsidR="002C1465">
        <w:rPr>
          <w:lang w:val="sr-Latn-RS"/>
        </w:rPr>
        <w:t>ficijenti vremenskog i kapacitetnog iskorišćenje</w:t>
      </w:r>
      <w:r w:rsidR="003445C6">
        <w:rPr>
          <w:lang w:val="sr-Latn-RS"/>
        </w:rPr>
        <w:t xml:space="preserve"> bagera</w:t>
      </w:r>
      <w:r w:rsidR="002C1465">
        <w:rPr>
          <w:lang w:val="sr-Latn-RS"/>
        </w:rPr>
        <w:t xml:space="preserve"> i </w:t>
      </w:r>
      <w:r w:rsidR="003445C6">
        <w:rPr>
          <w:lang w:val="sr-Latn-RS"/>
        </w:rPr>
        <w:t xml:space="preserve">vremenski </w:t>
      </w:r>
      <w:r w:rsidR="002C1465">
        <w:rPr>
          <w:lang w:val="sr-Latn-RS"/>
        </w:rPr>
        <w:t xml:space="preserve">zastoji koji su uticali na rad sistema.  </w:t>
      </w:r>
    </w:p>
    <w:p w14:paraId="1C1C12B4" w14:textId="7DBA8A8C" w:rsidR="001C4788" w:rsidRDefault="00C55C8B" w:rsidP="002D134B">
      <w:pPr>
        <w:rPr>
          <w:lang w:val="sr-Latn-RS"/>
        </w:rPr>
      </w:pPr>
      <w:r>
        <w:rPr>
          <w:lang w:val="sr-Latn-RS"/>
        </w:rPr>
        <w:t>U drugom delu rada p</w:t>
      </w:r>
      <w:r w:rsidR="002C1465">
        <w:rPr>
          <w:lang w:val="sr-Latn-RS"/>
        </w:rPr>
        <w:t xml:space="preserve">rimenjen je model zasnovan na </w:t>
      </w:r>
      <w:r w:rsidR="00A65D95">
        <w:rPr>
          <w:lang w:val="sr-Latn-RS"/>
        </w:rPr>
        <w:t>VIKOR i TOPSIS metodi</w:t>
      </w:r>
      <w:r w:rsidR="002C1465">
        <w:rPr>
          <w:lang w:val="sr-Latn-RS"/>
        </w:rPr>
        <w:t xml:space="preserve"> višekriterijumskog odlučiv</w:t>
      </w:r>
      <w:r w:rsidR="00A65D95">
        <w:rPr>
          <w:lang w:val="sr-Latn-RS"/>
        </w:rPr>
        <w:t>anja</w:t>
      </w:r>
      <w:r w:rsidR="002C1465">
        <w:rPr>
          <w:lang w:val="sr-Latn-RS"/>
        </w:rPr>
        <w:t>. Ulazni parametri za kreiranje modela podeljeni su u dve grupe. Prvu grupu čine parametri vezani za proizvodne učinke, dok u drugu grupu spadaju tehnološki, maši</w:t>
      </w:r>
      <w:r w:rsidR="005157E4">
        <w:rPr>
          <w:lang w:val="sr-Latn-RS"/>
        </w:rPr>
        <w:t xml:space="preserve">nski, elektro i ostali zastoji. U </w:t>
      </w:r>
      <w:r w:rsidR="002C1465">
        <w:rPr>
          <w:lang w:val="sr-Latn-RS"/>
        </w:rPr>
        <w:t xml:space="preserve">cilju </w:t>
      </w:r>
      <w:r w:rsidR="00002D6E" w:rsidRPr="0083548A">
        <w:rPr>
          <w:lang w:val="sr-Latn-RS"/>
        </w:rPr>
        <w:t xml:space="preserve">smanjenja </w:t>
      </w:r>
      <w:r w:rsidR="002C1465">
        <w:rPr>
          <w:lang w:val="sr-Latn-RS"/>
        </w:rPr>
        <w:t xml:space="preserve">subjektivnosti prilikom donošenja odluke, definisane su odgovarajuće preferencije. </w:t>
      </w:r>
      <w:r w:rsidR="001C4788">
        <w:rPr>
          <w:lang w:val="sr-Latn-RS"/>
        </w:rPr>
        <w:t xml:space="preserve">Razlika u vrednostima preferencija uspostavljena je iz razloga što se svi zastoji sistema ne mogu predvideti. </w:t>
      </w:r>
      <w:r w:rsidR="00A65D95">
        <w:rPr>
          <w:lang w:val="sr-Latn-RS"/>
        </w:rPr>
        <w:t>Data je b</w:t>
      </w:r>
      <w:r w:rsidR="001C4788">
        <w:rPr>
          <w:lang w:val="sr-Latn-RS"/>
        </w:rPr>
        <w:t>laga</w:t>
      </w:r>
      <w:r w:rsidR="00A65D95">
        <w:rPr>
          <w:lang w:val="sr-Latn-RS"/>
        </w:rPr>
        <w:t xml:space="preserve"> prednost parametrima koji se odnose na proizvodnju</w:t>
      </w:r>
      <w:r w:rsidR="001C4788">
        <w:rPr>
          <w:lang w:val="sr-Latn-RS"/>
        </w:rPr>
        <w:t xml:space="preserve"> jer otkopana količina uglja predstavlja imperativ rada sistema.</w:t>
      </w:r>
    </w:p>
    <w:p w14:paraId="7C0639B6" w14:textId="19396996" w:rsidR="001C4788" w:rsidRDefault="001C4788" w:rsidP="002D134B">
      <w:pPr>
        <w:rPr>
          <w:lang w:val="sr-Latn-RS"/>
        </w:rPr>
      </w:pPr>
      <w:r>
        <w:rPr>
          <w:lang w:val="sr-Latn-RS"/>
        </w:rPr>
        <w:t>Analiza je pokazala da je I BTD sistem ostvario najbolje proizvodne učinke, dok je III BT</w:t>
      </w:r>
      <w:r w:rsidR="00570FBC">
        <w:rPr>
          <w:lang w:val="sr-Latn-RS"/>
        </w:rPr>
        <w:t xml:space="preserve">D zabeležio najlošije. Sa aspekta proizvodnje, kroz </w:t>
      </w:r>
      <w:r w:rsidR="003445C6">
        <w:rPr>
          <w:lang w:val="sr-Latn-RS"/>
        </w:rPr>
        <w:t>III BTD</w:t>
      </w:r>
      <w:r w:rsidR="00570FBC">
        <w:rPr>
          <w:lang w:val="sr-Latn-RS"/>
        </w:rPr>
        <w:t xml:space="preserve"> </w:t>
      </w:r>
      <w:r w:rsidR="00E17D36">
        <w:rPr>
          <w:lang w:val="sr-Latn-RS"/>
        </w:rPr>
        <w:t>sistem otkopana je</w:t>
      </w:r>
      <w:r w:rsidR="00570FBC">
        <w:rPr>
          <w:lang w:val="sr-Latn-RS"/>
        </w:rPr>
        <w:t xml:space="preserve"> najmanja količina uglja. </w:t>
      </w:r>
      <w:r w:rsidR="003445C6">
        <w:rPr>
          <w:lang w:val="sr-Latn-RS"/>
        </w:rPr>
        <w:t>Uzrok tome</w:t>
      </w:r>
      <w:r w:rsidR="00E17D36">
        <w:rPr>
          <w:lang w:val="sr-Latn-RS"/>
        </w:rPr>
        <w:t xml:space="preserve"> </w:t>
      </w:r>
      <w:r w:rsidR="00A65D95">
        <w:rPr>
          <w:lang w:val="sr-Latn-RS"/>
        </w:rPr>
        <w:t>je</w:t>
      </w:r>
      <w:r w:rsidR="00570FBC">
        <w:rPr>
          <w:lang w:val="sr-Latn-RS"/>
        </w:rPr>
        <w:t xml:space="preserve"> pojava </w:t>
      </w:r>
      <w:r w:rsidR="00E17D36">
        <w:rPr>
          <w:lang w:val="sr-Latn-RS"/>
        </w:rPr>
        <w:t>značajne količine proslojaka.</w:t>
      </w:r>
    </w:p>
    <w:p w14:paraId="15E0EF69" w14:textId="71B15B74" w:rsidR="00E17D36" w:rsidRDefault="00E17D36" w:rsidP="002D134B">
      <w:pPr>
        <w:rPr>
          <w:lang w:val="sr-Latn-RS"/>
        </w:rPr>
      </w:pPr>
      <w:r>
        <w:rPr>
          <w:lang w:val="sr-Latn-RS"/>
        </w:rPr>
        <w:t xml:space="preserve">Pravac daljeg istraživanja moguće je usmeriti ka parcijalnoj analizi učinaka sistema sa osvrtom na uticaj pojedinačnih zastoja. </w:t>
      </w:r>
      <w:r w:rsidR="009C6829">
        <w:rPr>
          <w:lang w:val="sr-Latn-RS"/>
        </w:rPr>
        <w:t>Takvom</w:t>
      </w:r>
      <w:r>
        <w:rPr>
          <w:lang w:val="sr-Latn-RS"/>
        </w:rPr>
        <w:t xml:space="preserve"> analiz</w:t>
      </w:r>
      <w:r w:rsidR="009C6829">
        <w:rPr>
          <w:lang w:val="sr-Latn-RS"/>
        </w:rPr>
        <w:t>om</w:t>
      </w:r>
      <w:r>
        <w:rPr>
          <w:lang w:val="sr-Latn-RS"/>
        </w:rPr>
        <w:t xml:space="preserve"> obuhvatal</w:t>
      </w:r>
      <w:r w:rsidR="00A65064">
        <w:rPr>
          <w:lang w:val="sr-Latn-RS"/>
        </w:rPr>
        <w:t>o</w:t>
      </w:r>
      <w:r>
        <w:rPr>
          <w:lang w:val="sr-Latn-RS"/>
        </w:rPr>
        <w:t xml:space="preserve"> bi </w:t>
      </w:r>
      <w:r w:rsidR="00A65064">
        <w:rPr>
          <w:lang w:val="sr-Latn-RS"/>
        </w:rPr>
        <w:t xml:space="preserve">se </w:t>
      </w:r>
      <w:r>
        <w:rPr>
          <w:lang w:val="sr-Latn-RS"/>
        </w:rPr>
        <w:t xml:space="preserve">rangiranje </w:t>
      </w:r>
      <w:r w:rsidR="00A65D95">
        <w:rPr>
          <w:lang w:val="sr-Latn-RS"/>
        </w:rPr>
        <w:t xml:space="preserve">alternativa </w:t>
      </w:r>
      <w:r>
        <w:rPr>
          <w:lang w:val="sr-Latn-RS"/>
        </w:rPr>
        <w:t>na osnovu VIKOR metode</w:t>
      </w:r>
      <w:r w:rsidR="009F1122">
        <w:rPr>
          <w:lang w:val="sr-Latn-RS"/>
        </w:rPr>
        <w:t>,</w:t>
      </w:r>
      <w:r>
        <w:rPr>
          <w:lang w:val="sr-Latn-RS"/>
        </w:rPr>
        <w:t xml:space="preserve"> uzevši u obziri samo zastoje po sistemima. </w:t>
      </w:r>
      <w:r w:rsidR="001A7552">
        <w:rPr>
          <w:lang w:val="sr-Latn-RS"/>
        </w:rPr>
        <w:t xml:space="preserve">Unapređenje modela višekriterijumske analize moguće je upotpuniti </w:t>
      </w:r>
      <w:r>
        <w:rPr>
          <w:lang w:val="sr-Latn-RS"/>
        </w:rPr>
        <w:t>TOPSIS metodom</w:t>
      </w:r>
      <w:r w:rsidR="001A7552">
        <w:rPr>
          <w:lang w:val="sr-Latn-RS"/>
        </w:rPr>
        <w:t xml:space="preserve"> obuhvatanjem</w:t>
      </w:r>
      <w:r>
        <w:rPr>
          <w:lang w:val="sr-Latn-RS"/>
        </w:rPr>
        <w:t xml:space="preserve"> ostv</w:t>
      </w:r>
      <w:r w:rsidR="001A7552">
        <w:rPr>
          <w:lang w:val="sr-Latn-RS"/>
        </w:rPr>
        <w:t xml:space="preserve">arenih </w:t>
      </w:r>
      <w:r>
        <w:rPr>
          <w:lang w:val="sr-Latn-RS"/>
        </w:rPr>
        <w:t>proizvodn</w:t>
      </w:r>
      <w:r w:rsidR="001A7552">
        <w:rPr>
          <w:lang w:val="sr-Latn-RS"/>
        </w:rPr>
        <w:t>ih</w:t>
      </w:r>
      <w:r w:rsidR="00A65064">
        <w:rPr>
          <w:lang w:val="sr-Latn-RS"/>
        </w:rPr>
        <w:t xml:space="preserve"> p</w:t>
      </w:r>
      <w:r w:rsidR="001A7552">
        <w:rPr>
          <w:lang w:val="sr-Latn-RS"/>
        </w:rPr>
        <w:t xml:space="preserve">okazatelja, </w:t>
      </w:r>
      <w:r w:rsidR="004C60DE">
        <w:rPr>
          <w:lang w:val="sr-Latn-RS"/>
        </w:rPr>
        <w:t>č</w:t>
      </w:r>
      <w:r w:rsidR="001A7552">
        <w:rPr>
          <w:lang w:val="sr-Latn-RS"/>
        </w:rPr>
        <w:t>ime se</w:t>
      </w:r>
      <w:r>
        <w:rPr>
          <w:lang w:val="sr-Latn-RS"/>
        </w:rPr>
        <w:t xml:space="preserve"> </w:t>
      </w:r>
      <w:r w:rsidR="001A7552">
        <w:rPr>
          <w:lang w:val="sr-Latn-RS"/>
        </w:rPr>
        <w:t>mogu dobiti</w:t>
      </w:r>
      <w:r>
        <w:rPr>
          <w:lang w:val="sr-Latn-RS"/>
        </w:rPr>
        <w:t xml:space="preserve"> dva nezavisna izlaza</w:t>
      </w:r>
      <w:r w:rsidR="00CD68FD">
        <w:rPr>
          <w:lang w:val="sr-Latn-RS"/>
        </w:rPr>
        <w:t xml:space="preserve">, sa uspostavljanjem </w:t>
      </w:r>
      <w:r w:rsidR="00A65D95">
        <w:rPr>
          <w:lang w:val="sr-Latn-RS"/>
        </w:rPr>
        <w:t>korelacij</w:t>
      </w:r>
      <w:r w:rsidR="00CD68FD">
        <w:rPr>
          <w:lang w:val="sr-Latn-RS"/>
        </w:rPr>
        <w:t>e</w:t>
      </w:r>
      <w:r w:rsidR="00A65D95">
        <w:rPr>
          <w:lang w:val="sr-Latn-RS"/>
        </w:rPr>
        <w:t xml:space="preserve"> između ostvarene proizvodnje</w:t>
      </w:r>
      <w:r w:rsidR="00A65064">
        <w:rPr>
          <w:lang w:val="sr-Latn-RS"/>
        </w:rPr>
        <w:t xml:space="preserve"> uglja</w:t>
      </w:r>
      <w:r w:rsidR="00A65D95">
        <w:rPr>
          <w:lang w:val="sr-Latn-RS"/>
        </w:rPr>
        <w:t xml:space="preserve"> i nastalih </w:t>
      </w:r>
      <w:r w:rsidR="00A65064">
        <w:rPr>
          <w:lang w:val="sr-Latn-RS"/>
        </w:rPr>
        <w:t xml:space="preserve">vremenskih </w:t>
      </w:r>
      <w:r w:rsidR="00A65D95">
        <w:rPr>
          <w:lang w:val="sr-Latn-RS"/>
        </w:rPr>
        <w:t>zastoja</w:t>
      </w:r>
      <w:r w:rsidR="00A65064">
        <w:rPr>
          <w:lang w:val="sr-Latn-RS"/>
        </w:rPr>
        <w:t xml:space="preserve"> sistema</w:t>
      </w:r>
      <w:r w:rsidR="00A65D95">
        <w:rPr>
          <w:lang w:val="sr-Latn-RS"/>
        </w:rPr>
        <w:t xml:space="preserve">. </w:t>
      </w:r>
    </w:p>
    <w:p w14:paraId="714D3F05" w14:textId="77777777" w:rsidR="00A65D95" w:rsidRDefault="00A65D95" w:rsidP="00A65D95">
      <w:pPr>
        <w:spacing w:after="0"/>
        <w:rPr>
          <w:rFonts w:cs="Times New Roman"/>
          <w:spacing w:val="-2"/>
        </w:rPr>
      </w:pPr>
    </w:p>
    <w:p w14:paraId="3B77A5A4" w14:textId="12BFD9C8" w:rsidR="00A65D95" w:rsidRDefault="00A65D95" w:rsidP="00A65D95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rPr>
          <w:rFonts w:cs="Times New Roman"/>
          <w:b/>
          <w:spacing w:val="-2"/>
        </w:rPr>
      </w:pPr>
      <w:r w:rsidRPr="00A65D95">
        <w:rPr>
          <w:rFonts w:cs="Times New Roman"/>
          <w:b/>
          <w:spacing w:val="-2"/>
        </w:rPr>
        <w:t>Literatura</w:t>
      </w:r>
    </w:p>
    <w:p w14:paraId="651287CC" w14:textId="12F09B84" w:rsidR="004E043C" w:rsidRDefault="004E043C" w:rsidP="004E043C">
      <w:pPr>
        <w:pStyle w:val="ListParagraph"/>
        <w:spacing w:after="0"/>
        <w:ind w:left="357"/>
        <w:contextualSpacing w:val="0"/>
        <w:rPr>
          <w:rFonts w:cs="Times New Roman"/>
          <w:b/>
          <w:spacing w:val="-2"/>
        </w:rPr>
      </w:pPr>
    </w:p>
    <w:p w14:paraId="338ADAD7" w14:textId="60BC6978" w:rsidR="004E043C" w:rsidRPr="004E043C" w:rsidRDefault="004E043C" w:rsidP="004E043C">
      <w:pPr>
        <w:spacing w:before="120" w:after="40"/>
        <w:rPr>
          <w:rFonts w:cs="Times New Roman"/>
          <w:spacing w:val="-2"/>
          <w:lang w:val="sr-Latn-RS"/>
        </w:rPr>
      </w:pPr>
      <w:r w:rsidRPr="004E043C">
        <w:rPr>
          <w:rFonts w:cs="Times New Roman"/>
          <w:spacing w:val="-2"/>
          <w:lang w:val="sr-Latn-RS"/>
        </w:rPr>
        <w:t>[</w:t>
      </w:r>
      <w:r>
        <w:rPr>
          <w:rFonts w:cs="Times New Roman"/>
          <w:spacing w:val="-2"/>
          <w:lang w:val="sr-Latn-RS"/>
        </w:rPr>
        <w:t>1</w:t>
      </w:r>
      <w:r w:rsidRPr="004E043C">
        <w:rPr>
          <w:rFonts w:cs="Times New Roman"/>
          <w:spacing w:val="-2"/>
          <w:lang w:val="sr-Latn-RS"/>
        </w:rPr>
        <w:t>] Lazić M., Miletić F., Jelenić I., Đenadić S., ,,Tehnička ocena opravdanosti investiranja za nabavku osnovne otkopne mehnizacije i ocena efikasnosti rada bagera Liebherr u diskontinualnim sistemima površinske ekspolatacije krečnjaka” Rudarstvo 2019., Privredna komora Srbije;</w:t>
      </w:r>
    </w:p>
    <w:p w14:paraId="781A641C" w14:textId="6F08D2FC" w:rsidR="00A65D95" w:rsidRDefault="007A33B8" w:rsidP="007A33B8">
      <w:pPr>
        <w:spacing w:before="120" w:after="40"/>
        <w:rPr>
          <w:rFonts w:cs="Times New Roman"/>
          <w:spacing w:val="-2"/>
          <w:lang w:val="sr-Latn-RS"/>
        </w:rPr>
      </w:pPr>
      <w:r w:rsidRPr="007A33B8">
        <w:rPr>
          <w:rFonts w:cs="Times New Roman"/>
          <w:spacing w:val="-2"/>
        </w:rPr>
        <w:t>[</w:t>
      </w:r>
      <w:r w:rsidR="004E043C">
        <w:rPr>
          <w:rFonts w:cs="Times New Roman"/>
          <w:spacing w:val="-2"/>
        </w:rPr>
        <w:t>2</w:t>
      </w:r>
      <w:r w:rsidRPr="007A33B8">
        <w:rPr>
          <w:rFonts w:cs="Times New Roman"/>
          <w:spacing w:val="-2"/>
        </w:rPr>
        <w:t>]</w:t>
      </w:r>
      <w:r>
        <w:rPr>
          <w:rFonts w:cs="Times New Roman"/>
          <w:spacing w:val="-2"/>
        </w:rPr>
        <w:t xml:space="preserve"> Izve</w:t>
      </w:r>
      <w:r>
        <w:rPr>
          <w:rFonts w:cs="Times New Roman"/>
          <w:spacing w:val="-2"/>
          <w:lang w:val="sr-Latn-RS"/>
        </w:rPr>
        <w:t>štaj o proizvodnji i ostvarenom planu proizvodnje u RB „Kolubara“ za period od I–VI meseca 2021. godine;</w:t>
      </w:r>
    </w:p>
    <w:p w14:paraId="277F76B7" w14:textId="5FE5E593" w:rsidR="007A33B8" w:rsidRDefault="007A33B8" w:rsidP="007A33B8">
      <w:pPr>
        <w:spacing w:before="120" w:after="40"/>
        <w:rPr>
          <w:rFonts w:cs="Times New Roman"/>
          <w:spacing w:val="-2"/>
        </w:rPr>
      </w:pPr>
      <w:r w:rsidRPr="007A33B8">
        <w:rPr>
          <w:rFonts w:cs="Times New Roman"/>
          <w:spacing w:val="-2"/>
        </w:rPr>
        <w:t>[</w:t>
      </w:r>
      <w:r w:rsidR="004E043C">
        <w:rPr>
          <w:rFonts w:cs="Times New Roman"/>
          <w:spacing w:val="-2"/>
        </w:rPr>
        <w:t>3</w:t>
      </w:r>
      <w:r w:rsidRPr="007A33B8">
        <w:rPr>
          <w:rFonts w:cs="Times New Roman"/>
          <w:spacing w:val="-2"/>
        </w:rPr>
        <w:t>]</w:t>
      </w:r>
      <w:r>
        <w:rPr>
          <w:rFonts w:cs="Times New Roman"/>
          <w:spacing w:val="-2"/>
        </w:rPr>
        <w:t xml:space="preserve"> Miletić F., Lazić M., Jovančić P., Đenadić S., Ignjatović D. </w:t>
      </w:r>
      <w:r w:rsidR="00FA1565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</w:rPr>
        <w:t>,,</w:t>
      </w:r>
      <w:r w:rsidRPr="007A33B8">
        <w:rPr>
          <w:rFonts w:cs="Times New Roman"/>
          <w:spacing w:val="-2"/>
        </w:rPr>
        <w:t>Analiza efikasnosti rada r</w:t>
      </w:r>
      <w:r>
        <w:rPr>
          <w:rFonts w:cs="Times New Roman"/>
          <w:spacing w:val="-2"/>
        </w:rPr>
        <w:t xml:space="preserve">otornih bagera SRs2000.32/5+VR </w:t>
      </w:r>
      <w:r w:rsidRPr="007A33B8">
        <w:rPr>
          <w:rFonts w:cs="Times New Roman"/>
          <w:spacing w:val="-2"/>
        </w:rPr>
        <w:t>angažovanih na površinskim kopovima Elektroprivrede Srbije</w:t>
      </w:r>
      <w:r w:rsidR="005157E4">
        <w:rPr>
          <w:rFonts w:cs="Times New Roman"/>
          <w:spacing w:val="-2"/>
        </w:rPr>
        <w:t xml:space="preserve">” </w:t>
      </w:r>
      <w:r>
        <w:rPr>
          <w:rFonts w:cs="Times New Roman"/>
          <w:spacing w:val="-2"/>
        </w:rPr>
        <w:t>Tehnika, Savez inženjera i tehničara Srbije, 2019.;</w:t>
      </w:r>
    </w:p>
    <w:p w14:paraId="7D0C808C" w14:textId="7C6B8242" w:rsidR="002C7923" w:rsidRPr="002C7923" w:rsidRDefault="002C7923" w:rsidP="002C7923">
      <w:pPr>
        <w:spacing w:before="120" w:after="40"/>
        <w:rPr>
          <w:rFonts w:cs="Times New Roman"/>
          <w:spacing w:val="-2"/>
        </w:rPr>
      </w:pPr>
      <w:r w:rsidRPr="002C7923">
        <w:rPr>
          <w:rFonts w:cs="Times New Roman"/>
          <w:spacing w:val="-2"/>
        </w:rPr>
        <w:t>[</w:t>
      </w:r>
      <w:r>
        <w:rPr>
          <w:rFonts w:cs="Times New Roman"/>
          <w:spacing w:val="-2"/>
        </w:rPr>
        <w:t>4</w:t>
      </w:r>
      <w:r w:rsidRPr="002C7923">
        <w:rPr>
          <w:rFonts w:cs="Times New Roman"/>
          <w:spacing w:val="-2"/>
        </w:rPr>
        <w:t>] Samanta, B., Sarkar, B., &amp; Murkherjee, S.K. (2002). Selection of opencast mining equipment by a multi-criteria decision-making process. Mining Technology, 111(2), 136-142;</w:t>
      </w:r>
    </w:p>
    <w:p w14:paraId="2031CE8C" w14:textId="775D93F7" w:rsidR="002C7923" w:rsidRDefault="002C7923" w:rsidP="002C7923">
      <w:pPr>
        <w:spacing w:before="120" w:after="40"/>
        <w:rPr>
          <w:rFonts w:cs="Times New Roman"/>
          <w:spacing w:val="-2"/>
        </w:rPr>
      </w:pPr>
      <w:r w:rsidRPr="002C7923">
        <w:rPr>
          <w:rFonts w:cs="Times New Roman"/>
          <w:spacing w:val="-2"/>
        </w:rPr>
        <w:lastRenderedPageBreak/>
        <w:t>[</w:t>
      </w:r>
      <w:r>
        <w:rPr>
          <w:rFonts w:cs="Times New Roman"/>
          <w:spacing w:val="-2"/>
        </w:rPr>
        <w:t>5</w:t>
      </w:r>
      <w:r w:rsidRPr="002C7923">
        <w:rPr>
          <w:rFonts w:cs="Times New Roman"/>
          <w:spacing w:val="-2"/>
        </w:rPr>
        <w:t>] Basçetin, A. (2009). The study of decision making tools for equipment selection in mining engineering operations. Gospodarka Surowcami Mineralnymi – Mineral Resource Management, 25, 37-56;</w:t>
      </w:r>
    </w:p>
    <w:p w14:paraId="58D3412F" w14:textId="563891C6" w:rsidR="002C7923" w:rsidRPr="002C7923" w:rsidRDefault="002C7923" w:rsidP="002C7923">
      <w:pPr>
        <w:spacing w:before="120" w:after="40"/>
        <w:rPr>
          <w:rFonts w:cs="Times New Roman"/>
          <w:spacing w:val="-2"/>
        </w:rPr>
      </w:pPr>
      <w:r w:rsidRPr="002C7923">
        <w:rPr>
          <w:rFonts w:cs="Times New Roman"/>
          <w:spacing w:val="-2"/>
        </w:rPr>
        <w:t>[</w:t>
      </w:r>
      <w:r w:rsidR="00243508">
        <w:rPr>
          <w:rFonts w:cs="Times New Roman"/>
          <w:spacing w:val="-2"/>
        </w:rPr>
        <w:t>6</w:t>
      </w:r>
      <w:r w:rsidRPr="002C7923">
        <w:rPr>
          <w:rFonts w:cs="Times New Roman"/>
          <w:spacing w:val="-2"/>
        </w:rPr>
        <w:t>] Hwang, C. L., &amp; Yoon, K. (1981). Methods for multiple attribute decision making. In Multiple attribute decision making. Springer, Berlin, Heidelberg, pp. 58-191;</w:t>
      </w:r>
    </w:p>
    <w:p w14:paraId="271E5D19" w14:textId="77777777" w:rsidR="004E043C" w:rsidRDefault="002C7923" w:rsidP="002C7923">
      <w:pPr>
        <w:spacing w:before="120" w:after="40"/>
        <w:rPr>
          <w:rFonts w:cs="Times New Roman"/>
          <w:spacing w:val="-2"/>
          <w:lang w:val="sr-Latn-RS"/>
        </w:rPr>
      </w:pPr>
      <w:r w:rsidRPr="004E043C">
        <w:rPr>
          <w:rFonts w:cs="Times New Roman"/>
          <w:spacing w:val="-2"/>
          <w:lang w:val="sr-Latn-RS"/>
        </w:rPr>
        <w:t>[</w:t>
      </w:r>
      <w:r w:rsidR="00243508" w:rsidRPr="004E043C">
        <w:rPr>
          <w:rFonts w:cs="Times New Roman"/>
          <w:spacing w:val="-2"/>
          <w:lang w:val="sr-Latn-RS"/>
        </w:rPr>
        <w:t>7</w:t>
      </w:r>
      <w:r w:rsidRPr="004E043C">
        <w:rPr>
          <w:rFonts w:cs="Times New Roman"/>
          <w:spacing w:val="-2"/>
          <w:lang w:val="sr-Latn-RS"/>
        </w:rPr>
        <w:t>] Sitorus, F., Cilliers, Jan J., Pablo, R., &amp; Brito-Parada, R. (2019). Multi-criteria decision making for the choice problem in mining and mineral processing: Applications and trends. Expert</w:t>
      </w:r>
    </w:p>
    <w:p w14:paraId="5C025940" w14:textId="52E6485F" w:rsidR="002C7923" w:rsidRPr="004E043C" w:rsidRDefault="004E043C" w:rsidP="002C7923">
      <w:pPr>
        <w:spacing w:before="120" w:after="40"/>
        <w:rPr>
          <w:rFonts w:cs="Times New Roman"/>
          <w:spacing w:val="-2"/>
          <w:lang w:val="sr-Latn-RS"/>
        </w:rPr>
      </w:pPr>
      <w:r w:rsidRPr="004E043C">
        <w:rPr>
          <w:rFonts w:cs="Times New Roman"/>
          <w:spacing w:val="-2"/>
          <w:lang w:val="sr-Latn-RS"/>
        </w:rPr>
        <w:t>[8] Bazzazi, A. A., Osanloo, M., &amp; Karimi, B. (2011). Deriving preference order of open pit mines equipment through MADM methods: Application of modified VIKOR method. Expert Systems with Applications, 38(3), 2550-2556;</w:t>
      </w:r>
      <w:r w:rsidR="002C7923" w:rsidRPr="004E043C">
        <w:rPr>
          <w:rFonts w:cs="Times New Roman"/>
          <w:spacing w:val="-2"/>
          <w:lang w:val="sr-Latn-RS"/>
        </w:rPr>
        <w:t>Systems with Applications, 121, 393-417;</w:t>
      </w:r>
    </w:p>
    <w:p w14:paraId="5FFA1DB9" w14:textId="18DE641E" w:rsidR="007A33B8" w:rsidRPr="004E043C" w:rsidRDefault="007A33B8" w:rsidP="007A33B8">
      <w:pPr>
        <w:spacing w:before="120" w:after="40"/>
        <w:rPr>
          <w:rFonts w:cs="Times New Roman"/>
          <w:spacing w:val="-2"/>
          <w:lang w:val="sr-Latn-RS"/>
        </w:rPr>
      </w:pPr>
      <w:r w:rsidRPr="004E043C">
        <w:rPr>
          <w:rFonts w:cs="Times New Roman"/>
          <w:spacing w:val="-2"/>
          <w:lang w:val="sr-Latn-RS"/>
        </w:rPr>
        <w:t>[</w:t>
      </w:r>
      <w:r w:rsidR="004E043C" w:rsidRPr="004E043C">
        <w:rPr>
          <w:rFonts w:cs="Times New Roman"/>
          <w:spacing w:val="-2"/>
          <w:lang w:val="sr-Latn-RS"/>
        </w:rPr>
        <w:t>9</w:t>
      </w:r>
      <w:r w:rsidRPr="004E043C">
        <w:rPr>
          <w:rFonts w:cs="Times New Roman"/>
          <w:spacing w:val="-2"/>
          <w:lang w:val="sr-Latn-RS"/>
        </w:rPr>
        <w:t>] Tsaur R–C.,,Decision risk analysis for an interval TOPSIS method” Applied Mathematics and Computation 218(8), pp. 4295–4304, 2011. doi:10.1016/j.amc.2011.10.001;</w:t>
      </w:r>
    </w:p>
    <w:p w14:paraId="1937E19D" w14:textId="11D1C901" w:rsidR="002C7923" w:rsidRPr="004E043C" w:rsidRDefault="002C7923" w:rsidP="007A33B8">
      <w:pPr>
        <w:spacing w:before="120" w:after="40"/>
        <w:rPr>
          <w:rFonts w:cs="Times New Roman"/>
          <w:spacing w:val="-2"/>
          <w:lang w:val="sr-Latn-RS"/>
        </w:rPr>
      </w:pPr>
      <w:r w:rsidRPr="004E043C">
        <w:rPr>
          <w:rFonts w:cs="Times New Roman"/>
          <w:spacing w:val="-2"/>
          <w:lang w:val="sr-Latn-RS"/>
        </w:rPr>
        <w:t>[</w:t>
      </w:r>
      <w:r w:rsidR="004E043C" w:rsidRPr="004E043C">
        <w:rPr>
          <w:rFonts w:cs="Times New Roman"/>
          <w:spacing w:val="-2"/>
          <w:lang w:val="sr-Latn-RS"/>
        </w:rPr>
        <w:t>10</w:t>
      </w:r>
      <w:r w:rsidRPr="004E043C">
        <w:rPr>
          <w:rFonts w:cs="Times New Roman"/>
          <w:spacing w:val="-2"/>
          <w:lang w:val="sr-Latn-RS"/>
        </w:rPr>
        <w:t>] Krohling, R.A., &amp; Pacheco, A.G.C. (2015). A-TOPSIS - An Approach Based on TOPSIS for Ranking Evolutionary Algorithms. Procedia Computer Science, 55, 308–317;</w:t>
      </w:r>
    </w:p>
    <w:p w14:paraId="290534E1" w14:textId="77777777" w:rsidR="00A65D95" w:rsidRPr="002D134B" w:rsidRDefault="00A65D95" w:rsidP="002D134B">
      <w:pPr>
        <w:rPr>
          <w:lang w:val="sr-Latn-RS"/>
        </w:rPr>
      </w:pPr>
    </w:p>
    <w:sectPr w:rsidR="00A65D95" w:rsidRPr="002D134B" w:rsidSect="00D5362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CF08" w14:textId="77777777" w:rsidR="00E57EEB" w:rsidRDefault="00E57EEB" w:rsidP="009576C4">
      <w:pPr>
        <w:spacing w:after="0" w:line="240" w:lineRule="auto"/>
      </w:pPr>
      <w:r>
        <w:separator/>
      </w:r>
    </w:p>
  </w:endnote>
  <w:endnote w:type="continuationSeparator" w:id="0">
    <w:p w14:paraId="0E55D9C1" w14:textId="77777777" w:rsidR="00E57EEB" w:rsidRDefault="00E57EEB" w:rsidP="0095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DF21" w14:textId="77777777" w:rsidR="00E57EEB" w:rsidRDefault="00E57EEB" w:rsidP="009576C4">
      <w:pPr>
        <w:spacing w:after="0" w:line="240" w:lineRule="auto"/>
      </w:pPr>
      <w:r>
        <w:separator/>
      </w:r>
    </w:p>
  </w:footnote>
  <w:footnote w:type="continuationSeparator" w:id="0">
    <w:p w14:paraId="41057B2C" w14:textId="77777777" w:rsidR="00E57EEB" w:rsidRDefault="00E57EEB" w:rsidP="009576C4">
      <w:pPr>
        <w:spacing w:after="0" w:line="240" w:lineRule="auto"/>
      </w:pPr>
      <w:r>
        <w:continuationSeparator/>
      </w:r>
    </w:p>
  </w:footnote>
  <w:footnote w:id="1">
    <w:p w14:paraId="73E80B13" w14:textId="77777777" w:rsidR="00E17D36" w:rsidRPr="00C9425F" w:rsidRDefault="00E17D36" w:rsidP="00C9425F">
      <w:pPr>
        <w:spacing w:after="20" w:line="259" w:lineRule="auto"/>
        <w:rPr>
          <w:sz w:val="20"/>
          <w:szCs w:val="20"/>
          <w:lang w:val="sr-Latn-RS"/>
        </w:rPr>
      </w:pPr>
      <w:r w:rsidRPr="00C9425F">
        <w:rPr>
          <w:rStyle w:val="FootnoteReference"/>
          <w:sz w:val="20"/>
        </w:rPr>
        <w:footnoteRef/>
      </w:r>
      <w:r>
        <w:t xml:space="preserve"> </w:t>
      </w:r>
      <w:r w:rsidRPr="00C9425F">
        <w:rPr>
          <w:sz w:val="20"/>
          <w:szCs w:val="20"/>
          <w:lang w:val="sr-Latn-RS"/>
        </w:rPr>
        <w:t>PD PRO TENT Površinski kop Tamnava–Zapadno polje</w:t>
      </w:r>
    </w:p>
  </w:footnote>
  <w:footnote w:id="2">
    <w:p w14:paraId="27FDC779" w14:textId="77777777" w:rsidR="00E17D36" w:rsidRPr="00C9425F" w:rsidRDefault="00E17D36" w:rsidP="00C9425F">
      <w:pPr>
        <w:pStyle w:val="FootnoteText"/>
        <w:spacing w:after="20" w:line="259" w:lineRule="auto"/>
        <w:rPr>
          <w:lang w:val="sr-Latn-RS"/>
        </w:rPr>
      </w:pPr>
      <w:r w:rsidRPr="00C9425F">
        <w:rPr>
          <w:rStyle w:val="FootnoteReference"/>
        </w:rPr>
        <w:footnoteRef/>
      </w:r>
      <w:r w:rsidRPr="00C9425F">
        <w:t xml:space="preserve"> </w:t>
      </w:r>
      <w:r w:rsidRPr="00C9425F">
        <w:rPr>
          <w:lang w:val="sr-Latn-RS"/>
        </w:rPr>
        <w:t>Univerzitet u Beogradu – Rudarsko–geološki fakultet</w:t>
      </w:r>
    </w:p>
  </w:footnote>
  <w:footnote w:id="3">
    <w:p w14:paraId="4DDA3244" w14:textId="77777777" w:rsidR="00E17D36" w:rsidRPr="00C9425F" w:rsidRDefault="00E17D36" w:rsidP="00C9425F">
      <w:pPr>
        <w:pStyle w:val="FootnoteText"/>
        <w:spacing w:after="20"/>
        <w:rPr>
          <w:lang w:val="sr-Latn-RS"/>
        </w:rPr>
      </w:pPr>
      <w:r w:rsidRPr="00C9425F">
        <w:rPr>
          <w:rStyle w:val="FootnoteReference"/>
        </w:rPr>
        <w:footnoteRef/>
      </w:r>
      <w:r w:rsidRPr="00C9425F">
        <w:t xml:space="preserve"> </w:t>
      </w:r>
      <w:r w:rsidRPr="00C9425F">
        <w:rPr>
          <w:lang w:val="sr-Latn-RS"/>
        </w:rPr>
        <w:t>JP Elektroprivreda Srbije, Ogranak RB Kolubara, Površinski kop Tamnava–Zapadno polje</w:t>
      </w:r>
    </w:p>
  </w:footnote>
  <w:footnote w:id="4">
    <w:p w14:paraId="46C73537" w14:textId="77777777" w:rsidR="00152FE7" w:rsidRPr="00152FE7" w:rsidRDefault="00152FE7">
      <w:pPr>
        <w:pStyle w:val="FootnoteText"/>
        <w:rPr>
          <w:lang w:val="sr-Latn-RS"/>
        </w:rPr>
      </w:pPr>
      <w:r w:rsidRPr="00C9425F">
        <w:rPr>
          <w:rStyle w:val="FootnoteReference"/>
        </w:rPr>
        <w:footnoteRef/>
      </w:r>
      <w:r w:rsidRPr="00C9425F">
        <w:t xml:space="preserve"> </w:t>
      </w:r>
      <w:r w:rsidR="00C9425F" w:rsidRPr="00C9425F">
        <w:rPr>
          <w:lang w:val="sr-Latn-RS"/>
        </w:rPr>
        <w:t>Doktorand Rudarsko–geološkog fakulteta Univerziteta u Beogradu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6F2"/>
    <w:multiLevelType w:val="hybridMultilevel"/>
    <w:tmpl w:val="6E12072C"/>
    <w:lvl w:ilvl="0" w:tplc="53BCE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54065"/>
    <w:multiLevelType w:val="hybridMultilevel"/>
    <w:tmpl w:val="D9BA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4A9D"/>
    <w:multiLevelType w:val="multilevel"/>
    <w:tmpl w:val="8B140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5C045625"/>
    <w:multiLevelType w:val="hybridMultilevel"/>
    <w:tmpl w:val="483C9F9A"/>
    <w:lvl w:ilvl="0" w:tplc="53BCE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C4"/>
    <w:rsid w:val="00002A61"/>
    <w:rsid w:val="00002D6E"/>
    <w:rsid w:val="000074F5"/>
    <w:rsid w:val="00015B48"/>
    <w:rsid w:val="00020076"/>
    <w:rsid w:val="00053703"/>
    <w:rsid w:val="000862A9"/>
    <w:rsid w:val="000A2E98"/>
    <w:rsid w:val="000A7EF5"/>
    <w:rsid w:val="000D03EC"/>
    <w:rsid w:val="001212D0"/>
    <w:rsid w:val="001503D5"/>
    <w:rsid w:val="00152FE7"/>
    <w:rsid w:val="00162812"/>
    <w:rsid w:val="00180613"/>
    <w:rsid w:val="001A5F97"/>
    <w:rsid w:val="001A7552"/>
    <w:rsid w:val="001C4788"/>
    <w:rsid w:val="001C77F4"/>
    <w:rsid w:val="001E5896"/>
    <w:rsid w:val="001F1B43"/>
    <w:rsid w:val="00200A37"/>
    <w:rsid w:val="00222DA6"/>
    <w:rsid w:val="00231C0A"/>
    <w:rsid w:val="00243508"/>
    <w:rsid w:val="0026420C"/>
    <w:rsid w:val="002653C9"/>
    <w:rsid w:val="0029314A"/>
    <w:rsid w:val="002A2F65"/>
    <w:rsid w:val="002C1465"/>
    <w:rsid w:val="002C7923"/>
    <w:rsid w:val="002D0FB3"/>
    <w:rsid w:val="002D134B"/>
    <w:rsid w:val="002D3779"/>
    <w:rsid w:val="002D6873"/>
    <w:rsid w:val="00311CBB"/>
    <w:rsid w:val="00314E12"/>
    <w:rsid w:val="00325442"/>
    <w:rsid w:val="00333F7D"/>
    <w:rsid w:val="003445C6"/>
    <w:rsid w:val="003449FE"/>
    <w:rsid w:val="0036597C"/>
    <w:rsid w:val="00370770"/>
    <w:rsid w:val="003D0DE6"/>
    <w:rsid w:val="003D7137"/>
    <w:rsid w:val="00411769"/>
    <w:rsid w:val="00421C15"/>
    <w:rsid w:val="00422A9F"/>
    <w:rsid w:val="0047421E"/>
    <w:rsid w:val="004C2058"/>
    <w:rsid w:val="004C60DE"/>
    <w:rsid w:val="004E043C"/>
    <w:rsid w:val="005157E4"/>
    <w:rsid w:val="00537D69"/>
    <w:rsid w:val="0054333C"/>
    <w:rsid w:val="00543EDD"/>
    <w:rsid w:val="00551CE8"/>
    <w:rsid w:val="00557110"/>
    <w:rsid w:val="00565439"/>
    <w:rsid w:val="00570FBC"/>
    <w:rsid w:val="005B2061"/>
    <w:rsid w:val="005F74E1"/>
    <w:rsid w:val="006068A6"/>
    <w:rsid w:val="00674781"/>
    <w:rsid w:val="0069007E"/>
    <w:rsid w:val="006C5CBE"/>
    <w:rsid w:val="006E6BF5"/>
    <w:rsid w:val="007000FD"/>
    <w:rsid w:val="0070526D"/>
    <w:rsid w:val="00727198"/>
    <w:rsid w:val="00743BCB"/>
    <w:rsid w:val="00754B22"/>
    <w:rsid w:val="00762A89"/>
    <w:rsid w:val="007A33B8"/>
    <w:rsid w:val="007B516F"/>
    <w:rsid w:val="007E3166"/>
    <w:rsid w:val="007E39E6"/>
    <w:rsid w:val="007E73B7"/>
    <w:rsid w:val="00821D7F"/>
    <w:rsid w:val="00832158"/>
    <w:rsid w:val="0083548A"/>
    <w:rsid w:val="00855948"/>
    <w:rsid w:val="008666DA"/>
    <w:rsid w:val="00886F73"/>
    <w:rsid w:val="008A4158"/>
    <w:rsid w:val="008F054D"/>
    <w:rsid w:val="008F06E4"/>
    <w:rsid w:val="00900F3E"/>
    <w:rsid w:val="0094043C"/>
    <w:rsid w:val="009576C4"/>
    <w:rsid w:val="009B28D9"/>
    <w:rsid w:val="009C6829"/>
    <w:rsid w:val="009E45AD"/>
    <w:rsid w:val="009E531F"/>
    <w:rsid w:val="009F1122"/>
    <w:rsid w:val="009F140A"/>
    <w:rsid w:val="009F30DE"/>
    <w:rsid w:val="00A0012C"/>
    <w:rsid w:val="00A3797B"/>
    <w:rsid w:val="00A6190F"/>
    <w:rsid w:val="00A65064"/>
    <w:rsid w:val="00A65D95"/>
    <w:rsid w:val="00A8264D"/>
    <w:rsid w:val="00A92DCF"/>
    <w:rsid w:val="00AB7CD5"/>
    <w:rsid w:val="00AF3EC7"/>
    <w:rsid w:val="00B1440C"/>
    <w:rsid w:val="00B31049"/>
    <w:rsid w:val="00B457A6"/>
    <w:rsid w:val="00B52232"/>
    <w:rsid w:val="00B53845"/>
    <w:rsid w:val="00B55700"/>
    <w:rsid w:val="00B77893"/>
    <w:rsid w:val="00BC4873"/>
    <w:rsid w:val="00C55C8B"/>
    <w:rsid w:val="00C617DC"/>
    <w:rsid w:val="00C847DA"/>
    <w:rsid w:val="00C905E7"/>
    <w:rsid w:val="00C9425F"/>
    <w:rsid w:val="00CB7188"/>
    <w:rsid w:val="00CD60F8"/>
    <w:rsid w:val="00CD68FD"/>
    <w:rsid w:val="00CF590D"/>
    <w:rsid w:val="00D1160A"/>
    <w:rsid w:val="00D127B1"/>
    <w:rsid w:val="00D31096"/>
    <w:rsid w:val="00D34C0F"/>
    <w:rsid w:val="00D53628"/>
    <w:rsid w:val="00D75557"/>
    <w:rsid w:val="00D90F72"/>
    <w:rsid w:val="00D974E4"/>
    <w:rsid w:val="00DA18BC"/>
    <w:rsid w:val="00DA56B0"/>
    <w:rsid w:val="00DD0034"/>
    <w:rsid w:val="00E02030"/>
    <w:rsid w:val="00E17D36"/>
    <w:rsid w:val="00E35968"/>
    <w:rsid w:val="00E57EEB"/>
    <w:rsid w:val="00E62365"/>
    <w:rsid w:val="00E76052"/>
    <w:rsid w:val="00E85DDC"/>
    <w:rsid w:val="00EB0C34"/>
    <w:rsid w:val="00EB49F2"/>
    <w:rsid w:val="00EF21AC"/>
    <w:rsid w:val="00F07B46"/>
    <w:rsid w:val="00F271E2"/>
    <w:rsid w:val="00F2767E"/>
    <w:rsid w:val="00F83067"/>
    <w:rsid w:val="00FA1565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AC24"/>
  <w15:docId w15:val="{50851793-ABFE-47FB-9D33-4189CA3A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C15"/>
    <w:pPr>
      <w:spacing w:after="120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457A6"/>
    <w:pPr>
      <w:keepNext/>
      <w:keepLines/>
      <w:spacing w:before="40" w:line="240" w:lineRule="auto"/>
      <w:outlineLvl w:val="1"/>
    </w:pPr>
    <w:rPr>
      <w:rFonts w:eastAsiaTheme="majorEastAsia" w:cstheme="majorBidi"/>
      <w:b/>
      <w:sz w:val="22"/>
      <w:szCs w:val="26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7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6C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6C4"/>
    <w:rPr>
      <w:vertAlign w:val="superscript"/>
    </w:rPr>
  </w:style>
  <w:style w:type="table" w:styleId="TableGrid">
    <w:name w:val="Table Grid"/>
    <w:basedOn w:val="TableNormal"/>
    <w:uiPriority w:val="59"/>
    <w:rsid w:val="00A6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57A6"/>
    <w:rPr>
      <w:rFonts w:ascii="Times New Roman" w:eastAsiaTheme="majorEastAsia" w:hAnsi="Times New Roman" w:cstheme="majorBidi"/>
      <w:b/>
      <w:szCs w:val="26"/>
      <w:lang w:val="sr-Cyrl-RS"/>
    </w:rPr>
  </w:style>
  <w:style w:type="paragraph" w:styleId="ListContinue2">
    <w:name w:val="List Continue 2"/>
    <w:basedOn w:val="Normal"/>
    <w:uiPriority w:val="99"/>
    <w:unhideWhenUsed/>
    <w:rsid w:val="00B457A6"/>
    <w:pPr>
      <w:spacing w:line="240" w:lineRule="auto"/>
      <w:ind w:left="566"/>
      <w:contextualSpacing/>
    </w:pPr>
    <w:rPr>
      <w:rFonts w:eastAsia="Times New Roman" w:cs="Times New Roman"/>
      <w:szCs w:val="24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90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TableGrid1">
    <w:name w:val="Table Grid1"/>
    <w:basedOn w:val="TableNormal"/>
    <w:next w:val="TableGrid"/>
    <w:uiPriority w:val="59"/>
    <w:rsid w:val="00CF5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7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4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689A-3242-41FA-81C4-5C2544EF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Филип Милетић</cp:lastModifiedBy>
  <cp:revision>3</cp:revision>
  <cp:lastPrinted>2021-10-05T09:43:00Z</cp:lastPrinted>
  <dcterms:created xsi:type="dcterms:W3CDTF">2021-10-05T14:47:00Z</dcterms:created>
  <dcterms:modified xsi:type="dcterms:W3CDTF">2021-10-05T14:57:00Z</dcterms:modified>
</cp:coreProperties>
</file>