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8F187" w14:textId="77777777" w:rsidR="00A0000D" w:rsidRPr="00B64D9F" w:rsidRDefault="00A0000D" w:rsidP="0091268D">
      <w:pPr>
        <w:spacing w:before="120" w:after="24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64D9F">
        <w:rPr>
          <w:rFonts w:ascii="Times New Roman" w:hAnsi="Times New Roman"/>
          <w:b/>
          <w:bCs/>
          <w:sz w:val="28"/>
          <w:szCs w:val="28"/>
        </w:rPr>
        <w:t xml:space="preserve">Kosmaj monzogranite: </w:t>
      </w:r>
      <w:proofErr w:type="gramStart"/>
      <w:r w:rsidRPr="00B64D9F">
        <w:rPr>
          <w:rFonts w:ascii="Times New Roman" w:hAnsi="Times New Roman"/>
          <w:b/>
          <w:bCs/>
          <w:sz w:val="28"/>
          <w:szCs w:val="28"/>
        </w:rPr>
        <w:t>New</w:t>
      </w:r>
      <w:proofErr w:type="gramEnd"/>
      <w:r w:rsidRPr="00B64D9F">
        <w:rPr>
          <w:rFonts w:ascii="Times New Roman" w:hAnsi="Times New Roman"/>
          <w:b/>
          <w:bCs/>
          <w:sz w:val="28"/>
          <w:szCs w:val="28"/>
        </w:rPr>
        <w:t xml:space="preserve"> data from Radovac creek samples</w:t>
      </w:r>
    </w:p>
    <w:p w14:paraId="080AB34C" w14:textId="4BA7D1BC" w:rsidR="000C43C2" w:rsidRPr="006D5DED" w:rsidRDefault="00291AC1" w:rsidP="004E7CE5">
      <w:pPr>
        <w:spacing w:before="120" w:after="120" w:line="240" w:lineRule="auto"/>
        <w:rPr>
          <w:rFonts w:ascii="Times New Roman" w:hAnsi="Times New Roman"/>
          <w:sz w:val="22"/>
        </w:rPr>
      </w:pPr>
      <w:r w:rsidRPr="006D5DED">
        <w:rPr>
          <w:rFonts w:ascii="Times New Roman" w:hAnsi="Times New Roman"/>
          <w:sz w:val="22"/>
        </w:rPr>
        <w:t xml:space="preserve">Bojan Kostić, </w:t>
      </w:r>
      <w:r w:rsidR="00A0000D" w:rsidRPr="006D5DED">
        <w:rPr>
          <w:rFonts w:ascii="Times New Roman" w:hAnsi="Times New Roman"/>
          <w:sz w:val="22"/>
        </w:rPr>
        <w:t>Danica Srećković-Batoćanin, Milica Maletić, Dejan Prelević, Suzana Erić</w:t>
      </w:r>
    </w:p>
    <w:p w14:paraId="1AB4E01B" w14:textId="5288DE13" w:rsidR="00A51799" w:rsidRPr="00B64D9F" w:rsidRDefault="00B8184C" w:rsidP="00715A88">
      <w:pPr>
        <w:pStyle w:val="Default"/>
        <w:rPr>
          <w:color w:val="auto"/>
        </w:rPr>
      </w:pPr>
      <w:r>
        <w:t>University in Belgrade</w:t>
      </w:r>
      <w:r w:rsidR="00A51799" w:rsidRPr="00B64D9F">
        <w:t xml:space="preserve">, </w:t>
      </w:r>
      <w:r>
        <w:t>Faculty of mining and geology</w:t>
      </w:r>
      <w:r w:rsidR="00A51799" w:rsidRPr="00404F6A">
        <w:rPr>
          <w:color w:val="auto"/>
        </w:rPr>
        <w:t>,</w:t>
      </w:r>
      <w:r w:rsidR="00404F6A">
        <w:rPr>
          <w:color w:val="auto"/>
        </w:rPr>
        <w:t xml:space="preserve"> Djušina </w:t>
      </w:r>
      <w:r w:rsidR="00A51799" w:rsidRPr="00B64D9F">
        <w:t>7</w:t>
      </w:r>
      <w:r w:rsidR="00A51799" w:rsidRPr="00B64D9F">
        <w:rPr>
          <w:color w:val="auto"/>
        </w:rPr>
        <w:t xml:space="preserve">, 11000 </w:t>
      </w:r>
      <w:r w:rsidRPr="00B64D9F">
        <w:rPr>
          <w:color w:val="auto"/>
        </w:rPr>
        <w:t>Be</w:t>
      </w:r>
      <w:r>
        <w:rPr>
          <w:color w:val="auto"/>
        </w:rPr>
        <w:t>l</w:t>
      </w:r>
      <w:r w:rsidRPr="00B64D9F">
        <w:rPr>
          <w:color w:val="auto"/>
        </w:rPr>
        <w:t>grad</w:t>
      </w:r>
      <w:r>
        <w:rPr>
          <w:color w:val="auto"/>
        </w:rPr>
        <w:t>e</w:t>
      </w:r>
    </w:p>
    <w:p w14:paraId="7790D882" w14:textId="6C4083D0" w:rsidR="00A51799" w:rsidRPr="00B64D9F" w:rsidRDefault="001E6A5F" w:rsidP="00715A88">
      <w:pPr>
        <w:spacing w:after="0" w:line="240" w:lineRule="auto"/>
        <w:rPr>
          <w:rFonts w:ascii="Times New Roman" w:hAnsi="Times New Roman"/>
          <w:szCs w:val="24"/>
        </w:rPr>
      </w:pPr>
      <w:r w:rsidRPr="00B64D9F">
        <w:rPr>
          <w:rFonts w:ascii="Times New Roman" w:hAnsi="Times New Roman"/>
          <w:szCs w:val="24"/>
        </w:rPr>
        <w:t>e</w:t>
      </w:r>
      <w:r w:rsidR="00A51799" w:rsidRPr="00B64D9F">
        <w:rPr>
          <w:rFonts w:ascii="Times New Roman" w:hAnsi="Times New Roman"/>
          <w:szCs w:val="24"/>
        </w:rPr>
        <w:t xml:space="preserve">-mail: </w:t>
      </w:r>
      <w:hyperlink r:id="rId8" w:history="1">
        <w:r w:rsidR="006F1CFB" w:rsidRPr="00B64D9F">
          <w:rPr>
            <w:rStyle w:val="Hyperlink"/>
            <w:rFonts w:ascii="Times New Roman" w:hAnsi="Times New Roman"/>
            <w:color w:val="auto"/>
            <w:szCs w:val="24"/>
            <w:u w:val="none"/>
          </w:rPr>
          <w:t>bojan.kostic@rgf.bg.ac.rs</w:t>
        </w:r>
      </w:hyperlink>
    </w:p>
    <w:p w14:paraId="48D3364F" w14:textId="77777777" w:rsidR="006F1CFB" w:rsidRPr="00B64D9F" w:rsidRDefault="006F1CFB" w:rsidP="006F1CFB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7D2C2A29" w14:textId="34D9C79B" w:rsidR="001E6A5F" w:rsidRPr="00B64D9F" w:rsidRDefault="001E6A5F" w:rsidP="00237699">
      <w:pPr>
        <w:spacing w:after="0" w:line="276" w:lineRule="auto"/>
        <w:jc w:val="both"/>
        <w:rPr>
          <w:rFonts w:ascii="Times New Roman" w:hAnsi="Times New Roman"/>
          <w:b/>
          <w:bCs/>
          <w:szCs w:val="24"/>
        </w:rPr>
      </w:pPr>
      <w:r w:rsidRPr="00B64D9F">
        <w:rPr>
          <w:rFonts w:ascii="Times New Roman" w:hAnsi="Times New Roman"/>
          <w:b/>
          <w:bCs/>
          <w:szCs w:val="24"/>
        </w:rPr>
        <w:t>Key words: Kosmaj</w:t>
      </w:r>
      <w:r w:rsidR="00B866CF">
        <w:rPr>
          <w:rFonts w:ascii="Times New Roman" w:hAnsi="Times New Roman"/>
          <w:b/>
          <w:bCs/>
          <w:szCs w:val="24"/>
        </w:rPr>
        <w:t>,</w:t>
      </w:r>
      <w:r w:rsidRPr="00B64D9F">
        <w:rPr>
          <w:rFonts w:ascii="Times New Roman" w:hAnsi="Times New Roman"/>
          <w:b/>
          <w:bCs/>
          <w:szCs w:val="24"/>
        </w:rPr>
        <w:t xml:space="preserve"> </w:t>
      </w:r>
      <w:r w:rsidR="006D4915" w:rsidRPr="00B64D9F">
        <w:rPr>
          <w:rFonts w:ascii="Times New Roman" w:hAnsi="Times New Roman"/>
          <w:b/>
          <w:bCs/>
          <w:szCs w:val="24"/>
        </w:rPr>
        <w:t>monzogranite</w:t>
      </w:r>
      <w:r w:rsidRPr="00B64D9F">
        <w:rPr>
          <w:rFonts w:ascii="Times New Roman" w:hAnsi="Times New Roman"/>
          <w:b/>
          <w:bCs/>
          <w:szCs w:val="24"/>
        </w:rPr>
        <w:t xml:space="preserve">, </w:t>
      </w:r>
      <w:r w:rsidR="006D4915" w:rsidRPr="00B64D9F">
        <w:rPr>
          <w:rFonts w:ascii="Times New Roman" w:hAnsi="Times New Roman"/>
          <w:b/>
          <w:bCs/>
          <w:szCs w:val="24"/>
        </w:rPr>
        <w:t>geothermobarometry</w:t>
      </w:r>
      <w:r w:rsidRPr="00B64D9F">
        <w:rPr>
          <w:rFonts w:ascii="Times New Roman" w:hAnsi="Times New Roman"/>
          <w:b/>
          <w:bCs/>
          <w:szCs w:val="24"/>
        </w:rPr>
        <w:t>, U-Pb age</w:t>
      </w:r>
    </w:p>
    <w:p w14:paraId="02923785" w14:textId="26E40B7E" w:rsidR="00823F9B" w:rsidRDefault="00203C8D" w:rsidP="00823F9B">
      <w:pPr>
        <w:spacing w:after="0" w:line="360" w:lineRule="auto"/>
        <w:ind w:firstLine="720"/>
        <w:jc w:val="both"/>
        <w:rPr>
          <w:rFonts w:ascii="Times New Roman" w:hAnsi="Times New Roman"/>
          <w:lang w:val="sr-Latn-RS"/>
        </w:rPr>
      </w:pPr>
      <w:r w:rsidRPr="00B64D9F">
        <w:rPr>
          <w:rFonts w:ascii="Times New Roman" w:hAnsi="Times New Roman"/>
          <w:szCs w:val="24"/>
        </w:rPr>
        <w:t>Intensive tectonic movement</w:t>
      </w:r>
      <w:r w:rsidR="00093C97" w:rsidRPr="00B64D9F">
        <w:rPr>
          <w:rFonts w:ascii="Times New Roman" w:hAnsi="Times New Roman"/>
          <w:szCs w:val="24"/>
        </w:rPr>
        <w:t xml:space="preserve"> and</w:t>
      </w:r>
      <w:r w:rsidR="00102DED" w:rsidRPr="00B64D9F">
        <w:rPr>
          <w:rFonts w:ascii="Times New Roman" w:hAnsi="Times New Roman"/>
          <w:szCs w:val="24"/>
        </w:rPr>
        <w:t xml:space="preserve"> instability of the Dinaride orogen</w:t>
      </w:r>
      <w:r w:rsidR="00B2257D" w:rsidRPr="00B64D9F">
        <w:rPr>
          <w:rFonts w:ascii="Times New Roman" w:hAnsi="Times New Roman"/>
          <w:szCs w:val="24"/>
        </w:rPr>
        <w:t xml:space="preserve"> </w:t>
      </w:r>
      <w:r w:rsidR="00934804" w:rsidRPr="00B64D9F">
        <w:rPr>
          <w:rFonts w:ascii="Times New Roman" w:hAnsi="Times New Roman"/>
          <w:szCs w:val="24"/>
        </w:rPr>
        <w:t>through</w:t>
      </w:r>
      <w:r w:rsidR="00B2257D" w:rsidRPr="00B64D9F">
        <w:rPr>
          <w:rFonts w:ascii="Times New Roman" w:hAnsi="Times New Roman"/>
          <w:szCs w:val="24"/>
        </w:rPr>
        <w:t xml:space="preserve"> the Savian </w:t>
      </w:r>
      <w:r w:rsidR="00934804" w:rsidRPr="00B64D9F">
        <w:rPr>
          <w:rFonts w:ascii="Times New Roman" w:hAnsi="Times New Roman"/>
          <w:szCs w:val="24"/>
        </w:rPr>
        <w:t>orogeny</w:t>
      </w:r>
      <w:r w:rsidR="003D37DD" w:rsidRPr="00B64D9F">
        <w:rPr>
          <w:rFonts w:ascii="Times New Roman" w:hAnsi="Times New Roman"/>
          <w:szCs w:val="24"/>
        </w:rPr>
        <w:t xml:space="preserve"> </w:t>
      </w:r>
      <w:r w:rsidR="006D4915" w:rsidRPr="00B64D9F">
        <w:rPr>
          <w:rFonts w:ascii="Times New Roman" w:hAnsi="Times New Roman"/>
          <w:szCs w:val="24"/>
        </w:rPr>
        <w:t>phase</w:t>
      </w:r>
      <w:r w:rsidR="00C807C3" w:rsidRPr="00B64D9F">
        <w:rPr>
          <w:rFonts w:ascii="Times New Roman" w:hAnsi="Times New Roman"/>
          <w:szCs w:val="24"/>
        </w:rPr>
        <w:t xml:space="preserve"> </w:t>
      </w:r>
      <w:r w:rsidR="006D4915" w:rsidRPr="00B64D9F">
        <w:rPr>
          <w:rFonts w:ascii="Times New Roman" w:hAnsi="Times New Roman"/>
          <w:szCs w:val="24"/>
        </w:rPr>
        <w:t>initiated</w:t>
      </w:r>
      <w:r w:rsidR="00934804" w:rsidRPr="00B64D9F">
        <w:rPr>
          <w:rFonts w:ascii="Times New Roman" w:hAnsi="Times New Roman"/>
          <w:szCs w:val="24"/>
        </w:rPr>
        <w:t xml:space="preserve"> </w:t>
      </w:r>
      <w:r w:rsidR="00B866CF">
        <w:rPr>
          <w:rFonts w:ascii="Times New Roman" w:hAnsi="Times New Roman"/>
          <w:szCs w:val="24"/>
        </w:rPr>
        <w:t xml:space="preserve">the </w:t>
      </w:r>
      <w:r w:rsidR="00B866CF" w:rsidRPr="00B64D9F">
        <w:rPr>
          <w:rFonts w:ascii="Times New Roman" w:hAnsi="Times New Roman"/>
          <w:szCs w:val="24"/>
        </w:rPr>
        <w:t xml:space="preserve">emplacement </w:t>
      </w:r>
      <w:r w:rsidR="00B866CF">
        <w:rPr>
          <w:rFonts w:ascii="Times New Roman" w:hAnsi="Times New Roman"/>
          <w:szCs w:val="24"/>
        </w:rPr>
        <w:t xml:space="preserve">of </w:t>
      </w:r>
      <w:r w:rsidR="00934804" w:rsidRPr="00B64D9F">
        <w:rPr>
          <w:rFonts w:ascii="Times New Roman" w:hAnsi="Times New Roman"/>
          <w:szCs w:val="24"/>
        </w:rPr>
        <w:t xml:space="preserve">Kosmaj granitoid </w:t>
      </w:r>
      <w:r w:rsidR="00FB1DD9" w:rsidRPr="00B64D9F">
        <w:rPr>
          <w:rFonts w:ascii="Times New Roman" w:hAnsi="Times New Roman"/>
          <w:szCs w:val="24"/>
        </w:rPr>
        <w:t xml:space="preserve">into </w:t>
      </w:r>
      <w:r w:rsidR="00B866CF">
        <w:rPr>
          <w:rFonts w:ascii="Times New Roman" w:hAnsi="Times New Roman"/>
          <w:szCs w:val="24"/>
        </w:rPr>
        <w:t xml:space="preserve">the </w:t>
      </w:r>
      <w:r w:rsidR="00FB1DD9" w:rsidRPr="00B64D9F">
        <w:rPr>
          <w:rFonts w:ascii="Times New Roman" w:hAnsi="Times New Roman"/>
          <w:szCs w:val="24"/>
        </w:rPr>
        <w:t>Upper Cretac</w:t>
      </w:r>
      <w:r w:rsidR="00E710FC" w:rsidRPr="00B64D9F">
        <w:rPr>
          <w:rFonts w:ascii="Times New Roman" w:hAnsi="Times New Roman"/>
          <w:szCs w:val="24"/>
        </w:rPr>
        <w:t>eous</w:t>
      </w:r>
      <w:r w:rsidR="003D37DD" w:rsidRPr="00B64D9F">
        <w:rPr>
          <w:rFonts w:ascii="Times New Roman" w:hAnsi="Times New Roman"/>
          <w:szCs w:val="24"/>
        </w:rPr>
        <w:t xml:space="preserve"> sediments</w:t>
      </w:r>
      <w:r w:rsidR="009A14EC">
        <w:rPr>
          <w:rFonts w:ascii="Times New Roman" w:hAnsi="Times New Roman"/>
          <w:szCs w:val="24"/>
        </w:rPr>
        <w:t xml:space="preserve"> giving rise to derivation of contact-metamorphic rocks. Different varieties of hornfels, and less abundant skarn occur on the western and north-western slopes of Kosmaj. </w:t>
      </w:r>
      <w:r w:rsidR="00DB3C2A" w:rsidRPr="00B64D9F">
        <w:rPr>
          <w:rFonts w:ascii="Times New Roman" w:eastAsiaTheme="minorHAnsi" w:hAnsi="Times New Roman"/>
          <w:szCs w:val="20"/>
        </w:rPr>
        <w:t xml:space="preserve">Small outcrops </w:t>
      </w:r>
      <w:r w:rsidR="009A14EC" w:rsidRPr="00B64D9F">
        <w:rPr>
          <w:rFonts w:ascii="Times New Roman" w:eastAsiaTheme="minorHAnsi" w:hAnsi="Times New Roman"/>
          <w:szCs w:val="20"/>
        </w:rPr>
        <w:t xml:space="preserve">of granitoid pluton are exposed </w:t>
      </w:r>
      <w:r w:rsidR="009A14EC">
        <w:rPr>
          <w:rFonts w:ascii="Times New Roman" w:eastAsiaTheme="minorHAnsi" w:hAnsi="Times New Roman"/>
          <w:szCs w:val="20"/>
        </w:rPr>
        <w:t xml:space="preserve">also </w:t>
      </w:r>
      <w:r w:rsidR="00DB3C2A" w:rsidRPr="00B64D9F">
        <w:rPr>
          <w:rFonts w:ascii="Times New Roman" w:eastAsiaTheme="minorHAnsi" w:hAnsi="Times New Roman"/>
          <w:szCs w:val="20"/>
        </w:rPr>
        <w:t xml:space="preserve">on </w:t>
      </w:r>
      <w:r w:rsidR="009A14EC">
        <w:rPr>
          <w:rFonts w:ascii="Times New Roman" w:eastAsiaTheme="minorHAnsi" w:hAnsi="Times New Roman"/>
          <w:szCs w:val="20"/>
        </w:rPr>
        <w:t xml:space="preserve">the </w:t>
      </w:r>
      <w:r w:rsidR="00DB3C2A" w:rsidRPr="00B64D9F">
        <w:rPr>
          <w:rFonts w:ascii="Times New Roman" w:eastAsiaTheme="minorHAnsi" w:hAnsi="Times New Roman"/>
          <w:szCs w:val="20"/>
        </w:rPr>
        <w:t>north-western slopes of the Kosmaj Mts.</w:t>
      </w:r>
      <w:r w:rsidR="009A14EC">
        <w:rPr>
          <w:rFonts w:ascii="Times New Roman" w:eastAsiaTheme="minorHAnsi" w:hAnsi="Times New Roman"/>
          <w:szCs w:val="20"/>
        </w:rPr>
        <w:t xml:space="preserve">, which is located </w:t>
      </w:r>
      <w:r w:rsidR="009A14EC" w:rsidRPr="00B64D9F">
        <w:rPr>
          <w:rFonts w:ascii="Times New Roman" w:eastAsiaTheme="minorHAnsi" w:hAnsi="Times New Roman"/>
          <w:szCs w:val="20"/>
        </w:rPr>
        <w:t>within</w:t>
      </w:r>
      <w:r w:rsidR="00842167">
        <w:rPr>
          <w:rFonts w:ascii="Times New Roman" w:eastAsiaTheme="minorHAnsi" w:hAnsi="Times New Roman"/>
          <w:szCs w:val="20"/>
        </w:rPr>
        <w:t xml:space="preserve"> the Vardar Zone composite t</w:t>
      </w:r>
      <w:r w:rsidR="00B55A5E" w:rsidRPr="00B64D9F">
        <w:rPr>
          <w:rFonts w:ascii="Times New Roman" w:eastAsiaTheme="minorHAnsi" w:hAnsi="Times New Roman"/>
          <w:szCs w:val="20"/>
        </w:rPr>
        <w:t xml:space="preserve">errane. </w:t>
      </w:r>
      <w:r w:rsidR="00B866CF" w:rsidRPr="00B64D9F">
        <w:rPr>
          <w:rFonts w:ascii="Times New Roman" w:hAnsi="Times New Roman"/>
          <w:szCs w:val="24"/>
        </w:rPr>
        <w:t>The magmas</w:t>
      </w:r>
      <w:r w:rsidR="00102DED" w:rsidRPr="00B64D9F">
        <w:rPr>
          <w:rFonts w:ascii="Times New Roman" w:hAnsi="Times New Roman"/>
          <w:szCs w:val="24"/>
        </w:rPr>
        <w:t xml:space="preserve"> of these </w:t>
      </w:r>
      <w:r w:rsidR="008052D8" w:rsidRPr="00B64D9F">
        <w:rPr>
          <w:rFonts w:ascii="Times New Roman" w:hAnsi="Times New Roman"/>
          <w:szCs w:val="24"/>
        </w:rPr>
        <w:t>granitoid</w:t>
      </w:r>
      <w:r w:rsidR="00102DED" w:rsidRPr="00B64D9F">
        <w:rPr>
          <w:rFonts w:ascii="Times New Roman" w:hAnsi="Times New Roman"/>
          <w:szCs w:val="24"/>
        </w:rPr>
        <w:t xml:space="preserve"> rocks have potassic </w:t>
      </w:r>
      <w:r w:rsidR="00B55A5E" w:rsidRPr="00B64D9F">
        <w:rPr>
          <w:rFonts w:ascii="Times New Roman" w:hAnsi="Times New Roman"/>
          <w:szCs w:val="24"/>
        </w:rPr>
        <w:t xml:space="preserve">signature </w:t>
      </w:r>
      <w:r w:rsidR="00102DED" w:rsidRPr="00B64D9F">
        <w:rPr>
          <w:rFonts w:ascii="Times New Roman" w:hAnsi="Times New Roman"/>
          <w:szCs w:val="24"/>
        </w:rPr>
        <w:t>and the</w:t>
      </w:r>
      <w:r w:rsidR="00B8184C">
        <w:rPr>
          <w:rFonts w:ascii="Times New Roman" w:hAnsi="Times New Roman"/>
          <w:szCs w:val="24"/>
        </w:rPr>
        <w:t>ir</w:t>
      </w:r>
      <w:r w:rsidR="00102DED" w:rsidRPr="00B64D9F">
        <w:rPr>
          <w:rFonts w:ascii="Times New Roman" w:hAnsi="Times New Roman"/>
          <w:szCs w:val="24"/>
        </w:rPr>
        <w:t xml:space="preserve"> </w:t>
      </w:r>
      <w:r w:rsidR="00B866CF" w:rsidRPr="00B64D9F">
        <w:rPr>
          <w:rFonts w:ascii="Times New Roman" w:hAnsi="Times New Roman"/>
          <w:szCs w:val="24"/>
        </w:rPr>
        <w:t>primary</w:t>
      </w:r>
      <w:r w:rsidR="00102DED" w:rsidRPr="00B64D9F">
        <w:rPr>
          <w:rFonts w:ascii="Times New Roman" w:hAnsi="Times New Roman"/>
          <w:szCs w:val="24"/>
        </w:rPr>
        <w:t xml:space="preserve"> origin is</w:t>
      </w:r>
      <w:r w:rsidR="008052D8" w:rsidRPr="00B64D9F">
        <w:rPr>
          <w:rFonts w:ascii="Times New Roman" w:hAnsi="Times New Roman"/>
          <w:szCs w:val="24"/>
        </w:rPr>
        <w:t xml:space="preserve"> </w:t>
      </w:r>
      <w:r w:rsidR="00102DED" w:rsidRPr="00B64D9F">
        <w:rPr>
          <w:rFonts w:ascii="Times New Roman" w:hAnsi="Times New Roman"/>
          <w:szCs w:val="24"/>
        </w:rPr>
        <w:t>crustal</w:t>
      </w:r>
      <w:r w:rsidR="00823F9B">
        <w:rPr>
          <w:rFonts w:ascii="Times New Roman" w:hAnsi="Times New Roman"/>
          <w:szCs w:val="24"/>
        </w:rPr>
        <w:t xml:space="preserve"> </w:t>
      </w:r>
      <w:r w:rsidR="00823F9B" w:rsidRPr="009A14EC">
        <w:rPr>
          <w:rFonts w:ascii="Times New Roman" w:hAnsi="Times New Roman"/>
          <w:szCs w:val="24"/>
        </w:rPr>
        <w:t>(</w:t>
      </w:r>
      <w:r w:rsidR="00823F9B" w:rsidRPr="009A14EC">
        <w:rPr>
          <w:rFonts w:ascii="Times New Roman" w:hAnsi="Times New Roman"/>
          <w:szCs w:val="24"/>
          <w:lang w:val="sr-Latn-RS"/>
        </w:rPr>
        <w:t>Vasković, 1987)</w:t>
      </w:r>
      <w:r w:rsidR="00102DED" w:rsidRPr="009A14EC">
        <w:rPr>
          <w:rFonts w:ascii="Times New Roman" w:hAnsi="Times New Roman"/>
          <w:szCs w:val="24"/>
        </w:rPr>
        <w:t>.</w:t>
      </w:r>
      <w:r w:rsidR="00102DED" w:rsidRPr="00B64D9F">
        <w:rPr>
          <w:rFonts w:ascii="Times New Roman" w:hAnsi="Times New Roman"/>
          <w:szCs w:val="24"/>
        </w:rPr>
        <w:t xml:space="preserve"> Macroscopic and microscopic analysis</w:t>
      </w:r>
      <w:r w:rsidR="00BF49C3" w:rsidRPr="00B64D9F">
        <w:rPr>
          <w:rFonts w:ascii="Times New Roman" w:hAnsi="Times New Roman"/>
          <w:szCs w:val="24"/>
        </w:rPr>
        <w:t xml:space="preserve"> of </w:t>
      </w:r>
      <w:r w:rsidR="002F675D" w:rsidRPr="00B64D9F">
        <w:rPr>
          <w:rFonts w:ascii="Times New Roman" w:hAnsi="Times New Roman"/>
          <w:szCs w:val="24"/>
        </w:rPr>
        <w:t>samples</w:t>
      </w:r>
      <w:r w:rsidR="00BF49C3" w:rsidRPr="00B64D9F">
        <w:rPr>
          <w:rFonts w:ascii="Times New Roman" w:hAnsi="Times New Roman"/>
          <w:szCs w:val="24"/>
        </w:rPr>
        <w:t xml:space="preserve"> </w:t>
      </w:r>
      <w:r w:rsidR="00102DED" w:rsidRPr="00B64D9F">
        <w:rPr>
          <w:rFonts w:ascii="Times New Roman" w:hAnsi="Times New Roman"/>
          <w:szCs w:val="24"/>
        </w:rPr>
        <w:t xml:space="preserve">revealed </w:t>
      </w:r>
      <w:r w:rsidR="006D4915" w:rsidRPr="00B64D9F">
        <w:rPr>
          <w:rFonts w:ascii="Times New Roman" w:hAnsi="Times New Roman"/>
          <w:szCs w:val="24"/>
        </w:rPr>
        <w:t>monzogranite</w:t>
      </w:r>
      <w:r w:rsidR="00102DED" w:rsidRPr="00B64D9F">
        <w:rPr>
          <w:rFonts w:ascii="Times New Roman" w:hAnsi="Times New Roman"/>
          <w:szCs w:val="24"/>
        </w:rPr>
        <w:t xml:space="preserve"> with a granular to porphyroid texture made of orthoclase, plagioclase, quartz, </w:t>
      </w:r>
      <w:r w:rsidR="006D4915" w:rsidRPr="00B64D9F">
        <w:rPr>
          <w:rFonts w:ascii="Times New Roman" w:hAnsi="Times New Roman"/>
          <w:szCs w:val="24"/>
        </w:rPr>
        <w:t>biotite,</w:t>
      </w:r>
      <w:r w:rsidR="00102DED" w:rsidRPr="00B64D9F">
        <w:rPr>
          <w:rFonts w:ascii="Times New Roman" w:hAnsi="Times New Roman"/>
          <w:szCs w:val="24"/>
        </w:rPr>
        <w:t xml:space="preserve"> and amphibole</w:t>
      </w:r>
      <w:r w:rsidR="009D0A1E" w:rsidRPr="00B64D9F">
        <w:rPr>
          <w:rFonts w:ascii="Times New Roman" w:hAnsi="Times New Roman"/>
          <w:szCs w:val="24"/>
        </w:rPr>
        <w:t xml:space="preserve"> (fig. 1)</w:t>
      </w:r>
      <w:r w:rsidR="00102DED" w:rsidRPr="00B64D9F">
        <w:rPr>
          <w:rFonts w:ascii="Times New Roman" w:hAnsi="Times New Roman"/>
          <w:szCs w:val="24"/>
        </w:rPr>
        <w:t xml:space="preserve">. The appearance of sericite, epidote and chlorite indicates </w:t>
      </w:r>
      <w:r w:rsidR="006D4915" w:rsidRPr="00B64D9F">
        <w:rPr>
          <w:rFonts w:ascii="Times New Roman" w:hAnsi="Times New Roman"/>
          <w:szCs w:val="24"/>
        </w:rPr>
        <w:t>an</w:t>
      </w:r>
      <w:r w:rsidR="00102DED" w:rsidRPr="00B64D9F">
        <w:rPr>
          <w:rFonts w:ascii="Times New Roman" w:hAnsi="Times New Roman"/>
          <w:szCs w:val="24"/>
        </w:rPr>
        <w:t xml:space="preserve"> alteration </w:t>
      </w:r>
      <w:r w:rsidR="00934804" w:rsidRPr="00B64D9F">
        <w:rPr>
          <w:rFonts w:ascii="Times New Roman" w:hAnsi="Times New Roman"/>
          <w:szCs w:val="24"/>
        </w:rPr>
        <w:t>caused</w:t>
      </w:r>
      <w:r w:rsidR="00102DED" w:rsidRPr="00B64D9F">
        <w:rPr>
          <w:rFonts w:ascii="Times New Roman" w:hAnsi="Times New Roman"/>
          <w:szCs w:val="24"/>
        </w:rPr>
        <w:t xml:space="preserve"> by surface decomposition (weathering). </w:t>
      </w:r>
      <w:r w:rsidR="00157320" w:rsidRPr="00B64D9F">
        <w:rPr>
          <w:rFonts w:ascii="Times New Roman" w:hAnsi="Times New Roman"/>
          <w:szCs w:val="24"/>
        </w:rPr>
        <w:t xml:space="preserve">Feldspar analyzes show that K-feldspar contains from 82.5 to 87.4 % orthoclase (potassium) component, while plagioclase </w:t>
      </w:r>
      <w:r w:rsidR="00B866CF">
        <w:rPr>
          <w:rFonts w:ascii="Times New Roman" w:hAnsi="Times New Roman"/>
          <w:szCs w:val="24"/>
        </w:rPr>
        <w:t>with</w:t>
      </w:r>
      <w:r w:rsidR="00157320" w:rsidRPr="00B64D9F">
        <w:rPr>
          <w:rFonts w:ascii="Times New Roman" w:hAnsi="Times New Roman"/>
          <w:szCs w:val="24"/>
        </w:rPr>
        <w:t xml:space="preserve"> 59.4 to 72.1 % albite component </w:t>
      </w:r>
      <w:r w:rsidR="00B8184C">
        <w:rPr>
          <w:rFonts w:ascii="Times New Roman" w:hAnsi="Times New Roman"/>
          <w:szCs w:val="24"/>
        </w:rPr>
        <w:t>consider</w:t>
      </w:r>
      <w:r w:rsidR="00B866CF">
        <w:rPr>
          <w:rFonts w:ascii="Times New Roman" w:hAnsi="Times New Roman"/>
          <w:szCs w:val="24"/>
        </w:rPr>
        <w:t>s</w:t>
      </w:r>
      <w:r w:rsidR="00B8184C">
        <w:rPr>
          <w:rFonts w:ascii="Times New Roman" w:hAnsi="Times New Roman"/>
          <w:szCs w:val="24"/>
        </w:rPr>
        <w:t xml:space="preserve"> </w:t>
      </w:r>
      <w:r w:rsidR="00157320" w:rsidRPr="00B64D9F">
        <w:rPr>
          <w:rFonts w:ascii="Times New Roman" w:hAnsi="Times New Roman"/>
          <w:szCs w:val="24"/>
        </w:rPr>
        <w:t>andesine.</w:t>
      </w:r>
      <w:r w:rsidR="00823F9B" w:rsidRPr="00823F9B">
        <w:rPr>
          <w:lang w:val="sr-Latn-RS"/>
        </w:rPr>
        <w:t xml:space="preserve"> </w:t>
      </w:r>
      <w:r w:rsidR="009A14EC" w:rsidRPr="009A14EC">
        <w:rPr>
          <w:rFonts w:ascii="Times New Roman" w:hAnsi="Times New Roman"/>
          <w:lang w:val="sr-Latn-RS"/>
        </w:rPr>
        <w:t xml:space="preserve">Biotite </w:t>
      </w:r>
      <w:r w:rsidR="009A14EC">
        <w:rPr>
          <w:rFonts w:ascii="Times New Roman" w:hAnsi="Times New Roman"/>
          <w:lang w:val="sr-Latn-RS"/>
        </w:rPr>
        <w:t xml:space="preserve">does not display significant differences in alumina, iron, and magnesium contents, having Mg number between </w:t>
      </w:r>
      <w:r w:rsidR="00823F9B" w:rsidRPr="009A14EC">
        <w:rPr>
          <w:rFonts w:ascii="Times New Roman" w:hAnsi="Times New Roman"/>
          <w:lang w:val="sr-Latn-RS"/>
        </w:rPr>
        <w:t>0</w:t>
      </w:r>
      <w:r w:rsidR="009A14EC">
        <w:rPr>
          <w:rFonts w:ascii="Times New Roman" w:hAnsi="Times New Roman"/>
          <w:lang w:val="sr-Latn-RS"/>
        </w:rPr>
        <w:t>.</w:t>
      </w:r>
      <w:r w:rsidR="00823F9B" w:rsidRPr="009A14EC">
        <w:rPr>
          <w:rFonts w:ascii="Times New Roman" w:hAnsi="Times New Roman"/>
          <w:lang w:val="sr-Latn-RS"/>
        </w:rPr>
        <w:t xml:space="preserve">588 </w:t>
      </w:r>
      <w:r w:rsidR="009A14EC">
        <w:rPr>
          <w:rFonts w:ascii="Times New Roman" w:hAnsi="Times New Roman"/>
          <w:lang w:val="sr-Latn-RS"/>
        </w:rPr>
        <w:t xml:space="preserve"> and</w:t>
      </w:r>
      <w:r w:rsidR="00823F9B" w:rsidRPr="009A14EC">
        <w:rPr>
          <w:rFonts w:ascii="Times New Roman" w:hAnsi="Times New Roman"/>
          <w:lang w:val="sr-Latn-RS"/>
        </w:rPr>
        <w:t xml:space="preserve"> 0</w:t>
      </w:r>
      <w:r w:rsidR="009A14EC">
        <w:rPr>
          <w:rFonts w:ascii="Times New Roman" w:hAnsi="Times New Roman"/>
          <w:lang w:val="sr-Latn-RS"/>
        </w:rPr>
        <w:t>.</w:t>
      </w:r>
      <w:r w:rsidR="00823F9B" w:rsidRPr="009A14EC">
        <w:rPr>
          <w:rFonts w:ascii="Times New Roman" w:hAnsi="Times New Roman"/>
          <w:lang w:val="sr-Latn-RS"/>
        </w:rPr>
        <w:t>622.</w:t>
      </w:r>
      <w:r w:rsidR="009A14EC">
        <w:rPr>
          <w:rFonts w:ascii="Times New Roman" w:hAnsi="Times New Roman"/>
          <w:lang w:val="sr-Latn-RS"/>
        </w:rPr>
        <w:t xml:space="preserve"> All of the analyzed amphibole grains consider Ca amphiboles, i.e., magnsio-hornblende (</w:t>
      </w:r>
      <w:r w:rsidR="00823F9B" w:rsidRPr="009A14EC">
        <w:rPr>
          <w:rFonts w:ascii="Times New Roman" w:hAnsi="Times New Roman"/>
          <w:lang w:val="sr-Latn-RS"/>
        </w:rPr>
        <w:t xml:space="preserve">Leake et al., 1997). </w:t>
      </w:r>
    </w:p>
    <w:p w14:paraId="4371038A" w14:textId="77777777" w:rsidR="009A14EC" w:rsidRPr="009A14EC" w:rsidRDefault="009A14EC" w:rsidP="00823F9B">
      <w:pPr>
        <w:spacing w:after="0" w:line="360" w:lineRule="auto"/>
        <w:ind w:firstLine="720"/>
        <w:jc w:val="both"/>
        <w:rPr>
          <w:rFonts w:ascii="Times New Roman" w:hAnsi="Times New Roman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F13E8" w:rsidRPr="00B64D9F" w14:paraId="27DE2EA5" w14:textId="77777777" w:rsidTr="00157320">
        <w:tc>
          <w:tcPr>
            <w:tcW w:w="4675" w:type="dxa"/>
          </w:tcPr>
          <w:p w14:paraId="32F80AD2" w14:textId="3E5507C1" w:rsidR="00AF13E8" w:rsidRPr="00B64D9F" w:rsidRDefault="00AF13E8" w:rsidP="00B227B5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B64D9F">
              <w:rPr>
                <w:rFonts w:ascii="Times New Roman" w:hAnsi="Times New Roman"/>
                <w:noProof/>
              </w:rPr>
              <w:drawing>
                <wp:inline distT="0" distB="0" distL="0" distR="0" wp14:anchorId="5F1744E3" wp14:editId="7376602F">
                  <wp:extent cx="2552700" cy="1911767"/>
                  <wp:effectExtent l="19050" t="19050" r="19050" b="1270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927" cy="19149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0C3F014" w14:textId="0E891088" w:rsidR="00AF13E8" w:rsidRPr="00B64D9F" w:rsidRDefault="00AF13E8" w:rsidP="00B227B5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B64D9F">
              <w:rPr>
                <w:rFonts w:ascii="Times New Roman" w:hAnsi="Times New Roman"/>
                <w:noProof/>
              </w:rPr>
              <w:drawing>
                <wp:inline distT="0" distB="0" distL="0" distR="0" wp14:anchorId="3B4BF2AB" wp14:editId="2808547D">
                  <wp:extent cx="2555411" cy="1911350"/>
                  <wp:effectExtent l="19050" t="19050" r="16510" b="1270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24" cy="19145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3E8" w:rsidRPr="00B64D9F" w14:paraId="4E3A76B7" w14:textId="77777777" w:rsidTr="00157320">
        <w:tc>
          <w:tcPr>
            <w:tcW w:w="9350" w:type="dxa"/>
            <w:gridSpan w:val="2"/>
          </w:tcPr>
          <w:p w14:paraId="31D4DD4C" w14:textId="718D5C58" w:rsidR="00AF13E8" w:rsidRPr="00B64D9F" w:rsidRDefault="004D368A" w:rsidP="00B227B5"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B64D9F">
              <w:rPr>
                <w:rFonts w:ascii="Times New Roman" w:hAnsi="Times New Roman"/>
                <w:szCs w:val="24"/>
              </w:rPr>
              <w:t xml:space="preserve">Figure 1: </w:t>
            </w:r>
            <w:r w:rsidR="00B866CF">
              <w:rPr>
                <w:rFonts w:ascii="Times New Roman" w:hAnsi="Times New Roman"/>
                <w:szCs w:val="24"/>
              </w:rPr>
              <w:t>G</w:t>
            </w:r>
            <w:r w:rsidR="003E5290" w:rsidRPr="00B64D9F">
              <w:rPr>
                <w:rFonts w:ascii="Times New Roman" w:hAnsi="Times New Roman"/>
                <w:szCs w:val="24"/>
              </w:rPr>
              <w:t>ranular texture of m</w:t>
            </w:r>
            <w:r w:rsidR="00EA5DB2" w:rsidRPr="00B64D9F">
              <w:rPr>
                <w:rFonts w:ascii="Times New Roman" w:hAnsi="Times New Roman"/>
                <w:szCs w:val="24"/>
              </w:rPr>
              <w:t xml:space="preserve">onzogranite </w:t>
            </w:r>
            <w:r w:rsidR="001B7E25" w:rsidRPr="00B64D9F">
              <w:rPr>
                <w:rFonts w:ascii="Times New Roman" w:hAnsi="Times New Roman"/>
                <w:szCs w:val="24"/>
              </w:rPr>
              <w:t xml:space="preserve">and </w:t>
            </w:r>
            <w:r w:rsidR="00B866CF">
              <w:rPr>
                <w:rFonts w:ascii="Times New Roman" w:hAnsi="Times New Roman"/>
                <w:szCs w:val="24"/>
              </w:rPr>
              <w:t xml:space="preserve">a </w:t>
            </w:r>
            <w:r w:rsidR="00EA5DB2" w:rsidRPr="00B64D9F">
              <w:rPr>
                <w:rFonts w:ascii="Times New Roman" w:hAnsi="Times New Roman"/>
                <w:szCs w:val="24"/>
              </w:rPr>
              <w:t>g</w:t>
            </w:r>
            <w:r w:rsidR="00E9301D" w:rsidRPr="00B64D9F">
              <w:rPr>
                <w:rFonts w:ascii="Times New Roman" w:hAnsi="Times New Roman"/>
                <w:szCs w:val="24"/>
              </w:rPr>
              <w:t xml:space="preserve">roup </w:t>
            </w:r>
            <w:r w:rsidR="001B7E25" w:rsidRPr="00B64D9F">
              <w:rPr>
                <w:rFonts w:ascii="Times New Roman" w:hAnsi="Times New Roman"/>
                <w:szCs w:val="24"/>
              </w:rPr>
              <w:t xml:space="preserve">of </w:t>
            </w:r>
            <w:r w:rsidR="00E9301D" w:rsidRPr="00B64D9F">
              <w:rPr>
                <w:rFonts w:ascii="Times New Roman" w:hAnsi="Times New Roman"/>
                <w:szCs w:val="24"/>
              </w:rPr>
              <w:t>l</w:t>
            </w:r>
            <w:r w:rsidR="0033610A" w:rsidRPr="00B64D9F">
              <w:rPr>
                <w:rFonts w:ascii="Times New Roman" w:hAnsi="Times New Roman"/>
                <w:szCs w:val="24"/>
              </w:rPr>
              <w:t>arger h</w:t>
            </w:r>
            <w:r w:rsidR="00F90D11" w:rsidRPr="00B64D9F">
              <w:rPr>
                <w:rFonts w:ascii="Times New Roman" w:hAnsi="Times New Roman"/>
                <w:szCs w:val="24"/>
              </w:rPr>
              <w:t>ornblende c</w:t>
            </w:r>
            <w:r w:rsidR="00481319" w:rsidRPr="00B64D9F">
              <w:rPr>
                <w:rFonts w:ascii="Times New Roman" w:hAnsi="Times New Roman"/>
                <w:szCs w:val="24"/>
              </w:rPr>
              <w:t>rystals</w:t>
            </w:r>
            <w:r w:rsidR="00F90D11" w:rsidRPr="00B64D9F">
              <w:rPr>
                <w:rFonts w:ascii="Times New Roman" w:hAnsi="Times New Roman"/>
                <w:szCs w:val="24"/>
              </w:rPr>
              <w:t xml:space="preserve"> </w:t>
            </w:r>
            <w:r w:rsidR="0033610A" w:rsidRPr="00B64D9F">
              <w:rPr>
                <w:rFonts w:ascii="Times New Roman" w:hAnsi="Times New Roman"/>
                <w:szCs w:val="24"/>
              </w:rPr>
              <w:t>compare</w:t>
            </w:r>
            <w:r w:rsidR="00BB667D" w:rsidRPr="00B64D9F">
              <w:rPr>
                <w:rFonts w:ascii="Times New Roman" w:hAnsi="Times New Roman"/>
                <w:szCs w:val="24"/>
              </w:rPr>
              <w:t>d</w:t>
            </w:r>
            <w:r w:rsidR="0033610A" w:rsidRPr="00B64D9F">
              <w:rPr>
                <w:rFonts w:ascii="Times New Roman" w:hAnsi="Times New Roman"/>
                <w:szCs w:val="24"/>
              </w:rPr>
              <w:t xml:space="preserve"> to feldspar</w:t>
            </w:r>
            <w:r w:rsidR="00BB667D" w:rsidRPr="00B64D9F">
              <w:rPr>
                <w:rFonts w:ascii="Times New Roman" w:hAnsi="Times New Roman"/>
                <w:szCs w:val="24"/>
              </w:rPr>
              <w:t>s</w:t>
            </w:r>
            <w:r w:rsidR="00481319" w:rsidRPr="00B64D9F">
              <w:rPr>
                <w:rFonts w:ascii="Times New Roman" w:hAnsi="Times New Roman"/>
                <w:szCs w:val="24"/>
              </w:rPr>
              <w:t xml:space="preserve"> </w:t>
            </w:r>
            <w:r w:rsidR="00E9301D" w:rsidRPr="00B64D9F">
              <w:rPr>
                <w:rFonts w:ascii="Times New Roman" w:hAnsi="Times New Roman"/>
                <w:szCs w:val="24"/>
              </w:rPr>
              <w:t>grains</w:t>
            </w:r>
            <w:r w:rsidR="008F7ED2" w:rsidRPr="00B64D9F">
              <w:rPr>
                <w:rFonts w:ascii="Times New Roman" w:hAnsi="Times New Roman"/>
                <w:szCs w:val="24"/>
              </w:rPr>
              <w:t xml:space="preserve"> (left PPl</w:t>
            </w:r>
            <w:r w:rsidR="00157320" w:rsidRPr="00B64D9F">
              <w:rPr>
                <w:rFonts w:ascii="Times New Roman" w:hAnsi="Times New Roman"/>
                <w:szCs w:val="24"/>
              </w:rPr>
              <w:t>, right XPL)</w:t>
            </w:r>
            <w:r w:rsidR="001B7E25" w:rsidRPr="00B64D9F">
              <w:rPr>
                <w:rFonts w:ascii="Times New Roman" w:hAnsi="Times New Roman"/>
                <w:szCs w:val="24"/>
              </w:rPr>
              <w:t>.</w:t>
            </w:r>
          </w:p>
        </w:tc>
      </w:tr>
    </w:tbl>
    <w:p w14:paraId="365928C5" w14:textId="77777777" w:rsidR="006C39A8" w:rsidRPr="00B64D9F" w:rsidRDefault="006C39A8" w:rsidP="00B227B5">
      <w:pPr>
        <w:spacing w:line="276" w:lineRule="auto"/>
        <w:ind w:firstLine="720"/>
        <w:jc w:val="both"/>
        <w:rPr>
          <w:rFonts w:ascii="Times New Roman" w:hAnsi="Times New Roman"/>
          <w:szCs w:val="24"/>
        </w:rPr>
      </w:pPr>
    </w:p>
    <w:p w14:paraId="645E49D2" w14:textId="7654DD2A" w:rsidR="004C6131" w:rsidRPr="00B64D9F" w:rsidRDefault="00102DED" w:rsidP="00B227B5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/>
          <w:szCs w:val="24"/>
        </w:rPr>
      </w:pPr>
      <w:r w:rsidRPr="00B64D9F">
        <w:rPr>
          <w:rFonts w:ascii="Times New Roman" w:hAnsi="Times New Roman"/>
          <w:szCs w:val="24"/>
        </w:rPr>
        <w:lastRenderedPageBreak/>
        <w:t>Based on the amphibole-plagioclase geothermobarometric calculation</w:t>
      </w:r>
      <w:r w:rsidR="00823F9B">
        <w:rPr>
          <w:rFonts w:ascii="Times New Roman" w:hAnsi="Times New Roman"/>
          <w:szCs w:val="24"/>
        </w:rPr>
        <w:t xml:space="preserve"> </w:t>
      </w:r>
      <w:r w:rsidR="00823F9B" w:rsidRPr="009A14EC">
        <w:rPr>
          <w:rFonts w:ascii="Times New Roman" w:hAnsi="Times New Roman"/>
          <w:szCs w:val="24"/>
        </w:rPr>
        <w:t>(</w:t>
      </w:r>
      <w:r w:rsidR="00B030FE">
        <w:rPr>
          <w:rFonts w:ascii="Times New Roman" w:hAnsi="Times New Roman"/>
          <w:szCs w:val="24"/>
        </w:rPr>
        <w:t xml:space="preserve">e.g., </w:t>
      </w:r>
      <w:r w:rsidR="00823F9B" w:rsidRPr="009A14EC">
        <w:rPr>
          <w:rFonts w:ascii="Times New Roman" w:hAnsi="Times New Roman"/>
          <w:lang w:val="sr-Latn-RS"/>
        </w:rPr>
        <w:t>Blondy &amp; Holland, 1990)</w:t>
      </w:r>
      <w:r w:rsidRPr="009A14EC">
        <w:rPr>
          <w:rFonts w:ascii="Times New Roman" w:hAnsi="Times New Roman"/>
          <w:szCs w:val="24"/>
        </w:rPr>
        <w:t>,</w:t>
      </w:r>
      <w:r w:rsidRPr="00B64D9F">
        <w:rPr>
          <w:rFonts w:ascii="Times New Roman" w:hAnsi="Times New Roman"/>
          <w:szCs w:val="24"/>
        </w:rPr>
        <w:t xml:space="preserve"> a temperature of 728 </w:t>
      </w:r>
      <w:r w:rsidRPr="00B64D9F">
        <w:rPr>
          <w:rFonts w:ascii="Times New Roman" w:hAnsi="Times New Roman"/>
          <w:szCs w:val="24"/>
          <w:vertAlign w:val="superscript"/>
        </w:rPr>
        <w:t>o</w:t>
      </w:r>
      <w:r w:rsidRPr="00B64D9F">
        <w:rPr>
          <w:rFonts w:ascii="Times New Roman" w:hAnsi="Times New Roman"/>
          <w:szCs w:val="24"/>
        </w:rPr>
        <w:t>C and a pressure of 1.4 Kbar were obtained, represent</w:t>
      </w:r>
      <w:r w:rsidR="007A3FB0" w:rsidRPr="00B64D9F">
        <w:rPr>
          <w:rFonts w:ascii="Times New Roman" w:hAnsi="Times New Roman"/>
          <w:szCs w:val="24"/>
        </w:rPr>
        <w:t>ing</w:t>
      </w:r>
      <w:r w:rsidRPr="00B64D9F">
        <w:rPr>
          <w:rFonts w:ascii="Times New Roman" w:hAnsi="Times New Roman"/>
          <w:szCs w:val="24"/>
        </w:rPr>
        <w:t xml:space="preserve"> the </w:t>
      </w:r>
      <w:r w:rsidR="007A3FB0" w:rsidRPr="00B64D9F">
        <w:rPr>
          <w:rFonts w:ascii="Times New Roman" w:hAnsi="Times New Roman"/>
          <w:szCs w:val="24"/>
        </w:rPr>
        <w:t xml:space="preserve">PT </w:t>
      </w:r>
      <w:r w:rsidRPr="00B64D9F">
        <w:rPr>
          <w:rFonts w:ascii="Times New Roman" w:hAnsi="Times New Roman"/>
          <w:szCs w:val="24"/>
        </w:rPr>
        <w:t>conditions</w:t>
      </w:r>
      <w:r w:rsidR="009D0A1E" w:rsidRPr="00B64D9F">
        <w:rPr>
          <w:rFonts w:ascii="Times New Roman" w:hAnsi="Times New Roman"/>
          <w:szCs w:val="24"/>
        </w:rPr>
        <w:t xml:space="preserve"> (fig. 2)</w:t>
      </w:r>
      <w:r w:rsidRPr="00B64D9F">
        <w:rPr>
          <w:rFonts w:ascii="Times New Roman" w:hAnsi="Times New Roman"/>
          <w:szCs w:val="24"/>
        </w:rPr>
        <w:t xml:space="preserve"> </w:t>
      </w:r>
      <w:r w:rsidR="00B866CF">
        <w:rPr>
          <w:rFonts w:ascii="Times New Roman" w:hAnsi="Times New Roman"/>
          <w:szCs w:val="24"/>
        </w:rPr>
        <w:t>during the</w:t>
      </w:r>
      <w:r w:rsidRPr="00B64D9F">
        <w:rPr>
          <w:rFonts w:ascii="Times New Roman" w:hAnsi="Times New Roman"/>
          <w:szCs w:val="24"/>
        </w:rPr>
        <w:t xml:space="preserve"> emplacement of Kosmaj </w:t>
      </w:r>
      <w:r w:rsidR="006D4915" w:rsidRPr="00B64D9F">
        <w:rPr>
          <w:rFonts w:ascii="Times New Roman" w:hAnsi="Times New Roman"/>
          <w:szCs w:val="24"/>
        </w:rPr>
        <w:t>monzogranite</w:t>
      </w:r>
      <w:r w:rsidR="00592B9D" w:rsidRPr="00B64D9F">
        <w:rPr>
          <w:rFonts w:ascii="Times New Roman" w:hAnsi="Times New Roman"/>
          <w:szCs w:val="24"/>
        </w:rPr>
        <w:t xml:space="preserve"> and indicating shallow-level emplacement.</w:t>
      </w:r>
    </w:p>
    <w:p w14:paraId="70F0FD5F" w14:textId="4ECB3287" w:rsidR="00794AC2" w:rsidRPr="00B64D9F" w:rsidRDefault="00592B9D" w:rsidP="00B227B5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/>
          <w:szCs w:val="24"/>
        </w:rPr>
      </w:pPr>
      <w:r w:rsidRPr="00B64D9F">
        <w:rPr>
          <w:rFonts w:ascii="Times New Roman" w:hAnsi="Times New Roman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B0E55" w:rsidRPr="00B64D9F" w14:paraId="2EF4696F" w14:textId="77777777" w:rsidTr="004C6131">
        <w:tc>
          <w:tcPr>
            <w:tcW w:w="9350" w:type="dxa"/>
          </w:tcPr>
          <w:p w14:paraId="3DD1A6AF" w14:textId="39508F8B" w:rsidR="002B0E55" w:rsidRPr="00B64D9F" w:rsidRDefault="002B0E55" w:rsidP="00B227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B64D9F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2FF0D300" wp14:editId="5BECE2AC">
                  <wp:simplePos x="0" y="0"/>
                  <wp:positionH relativeFrom="margin">
                    <wp:posOffset>1055370</wp:posOffset>
                  </wp:positionH>
                  <wp:positionV relativeFrom="margin">
                    <wp:posOffset>1905</wp:posOffset>
                  </wp:positionV>
                  <wp:extent cx="3257550" cy="2700655"/>
                  <wp:effectExtent l="0" t="0" r="0" b="4445"/>
                  <wp:wrapSquare wrapText="bothSides"/>
                  <wp:docPr id="778760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7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E55" w:rsidRPr="00B64D9F" w14:paraId="77248D66" w14:textId="77777777" w:rsidTr="004C6131">
        <w:tc>
          <w:tcPr>
            <w:tcW w:w="9350" w:type="dxa"/>
          </w:tcPr>
          <w:p w14:paraId="71072A5A" w14:textId="77777777" w:rsidR="004C6131" w:rsidRPr="00B64D9F" w:rsidRDefault="004C6131" w:rsidP="00B227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</w:p>
          <w:p w14:paraId="717D8357" w14:textId="1042E2E5" w:rsidR="002B0E55" w:rsidRPr="00B64D9F" w:rsidRDefault="00015BC5" w:rsidP="00B227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B64D9F">
              <w:rPr>
                <w:rFonts w:ascii="Times New Roman" w:hAnsi="Times New Roman"/>
                <w:szCs w:val="24"/>
              </w:rPr>
              <w:t>Figure 2:</w:t>
            </w:r>
            <w:r w:rsidR="000E1FC1" w:rsidRPr="00B64D9F">
              <w:rPr>
                <w:rFonts w:ascii="Times New Roman" w:hAnsi="Times New Roman"/>
                <w:szCs w:val="24"/>
              </w:rPr>
              <w:t xml:space="preserve"> PT conditions diagram of crystallization Kosmaj monzogranite</w:t>
            </w:r>
          </w:p>
        </w:tc>
      </w:tr>
    </w:tbl>
    <w:p w14:paraId="589BBEBF" w14:textId="77777777" w:rsidR="00794AC2" w:rsidRPr="00B64D9F" w:rsidRDefault="00794AC2" w:rsidP="00B227B5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/>
          <w:szCs w:val="24"/>
        </w:rPr>
      </w:pPr>
    </w:p>
    <w:p w14:paraId="0AFC9AD2" w14:textId="5453703F" w:rsidR="00522940" w:rsidRPr="00B64D9F" w:rsidRDefault="00964FE5" w:rsidP="00B227B5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/>
          <w:szCs w:val="24"/>
        </w:rPr>
      </w:pPr>
      <w:r w:rsidRPr="00B64D9F">
        <w:rPr>
          <w:rFonts w:ascii="Times New Roman" w:hAnsi="Times New Roman"/>
          <w:szCs w:val="24"/>
        </w:rPr>
        <w:t xml:space="preserve">The radiometric U-Pb method </w:t>
      </w:r>
      <w:r w:rsidR="00A61768" w:rsidRPr="00B64D9F">
        <w:rPr>
          <w:rFonts w:ascii="Times New Roman" w:hAnsi="Times New Roman"/>
          <w:szCs w:val="24"/>
        </w:rPr>
        <w:t xml:space="preserve">on zircons </w:t>
      </w:r>
      <w:r w:rsidR="00B866CF">
        <w:rPr>
          <w:rFonts w:ascii="Times New Roman" w:hAnsi="Times New Roman"/>
          <w:szCs w:val="24"/>
        </w:rPr>
        <w:t>suggests</w:t>
      </w:r>
      <w:r w:rsidR="00CA1181" w:rsidRPr="00B64D9F">
        <w:rPr>
          <w:rFonts w:ascii="Times New Roman" w:hAnsi="Times New Roman"/>
          <w:szCs w:val="24"/>
        </w:rPr>
        <w:t xml:space="preserve"> that Kosmaj monzogranite was emplaced during the late Oligocene</w:t>
      </w:r>
      <w:r w:rsidR="00871DB9" w:rsidRPr="00B64D9F">
        <w:rPr>
          <w:rFonts w:ascii="Times New Roman" w:hAnsi="Times New Roman"/>
          <w:szCs w:val="24"/>
        </w:rPr>
        <w:t>, with an absolute age of 25.95 ± 1.2 Ma</w:t>
      </w:r>
      <w:r w:rsidR="00B866CF">
        <w:rPr>
          <w:rFonts w:ascii="Times New Roman" w:hAnsi="Times New Roman"/>
          <w:szCs w:val="24"/>
        </w:rPr>
        <w:t xml:space="preserve"> (</w:t>
      </w:r>
      <w:r w:rsidR="00BD5DEA" w:rsidRPr="00B64D9F">
        <w:rPr>
          <w:rFonts w:ascii="Times New Roman" w:hAnsi="Times New Roman"/>
          <w:szCs w:val="24"/>
        </w:rPr>
        <w:t>fig. 3</w:t>
      </w:r>
      <w:r w:rsidR="00B866CF">
        <w:rPr>
          <w:rFonts w:ascii="Times New Roman" w:hAnsi="Times New Roman"/>
          <w:szCs w:val="24"/>
        </w:rPr>
        <w:t>)</w:t>
      </w:r>
      <w:r w:rsidR="00871DB9" w:rsidRPr="00B64D9F">
        <w:rPr>
          <w:rFonts w:ascii="Times New Roman" w:hAnsi="Times New Roman"/>
          <w:szCs w:val="24"/>
        </w:rPr>
        <w:t>.</w:t>
      </w:r>
    </w:p>
    <w:p w14:paraId="3EE761E2" w14:textId="77777777" w:rsidR="00823F9B" w:rsidRDefault="00823F9B" w:rsidP="00B227B5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/>
          <w:szCs w:val="24"/>
        </w:rPr>
      </w:pPr>
    </w:p>
    <w:p w14:paraId="279F561B" w14:textId="77777777" w:rsidR="00823F9B" w:rsidRPr="00B64D9F" w:rsidRDefault="00823F9B" w:rsidP="00B227B5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D5DEA" w:rsidRPr="00B64D9F" w14:paraId="70D52538" w14:textId="77777777" w:rsidTr="009D0A1E">
        <w:tc>
          <w:tcPr>
            <w:tcW w:w="9350" w:type="dxa"/>
          </w:tcPr>
          <w:p w14:paraId="32EE08D2" w14:textId="478AEDC3" w:rsidR="00BD5DEA" w:rsidRPr="00B64D9F" w:rsidRDefault="000B2A75" w:rsidP="00B227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B64D9F">
              <w:rPr>
                <w:rFonts w:ascii="Times New Roman" w:hAnsi="Times New Roman"/>
                <w:noProof/>
              </w:rPr>
              <w:drawing>
                <wp:inline distT="0" distB="0" distL="0" distR="0" wp14:anchorId="4CAA9D70" wp14:editId="206ACA40">
                  <wp:extent cx="3062062" cy="2305050"/>
                  <wp:effectExtent l="0" t="0" r="5080" b="0"/>
                  <wp:docPr id="17625711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115" cy="233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DEA" w:rsidRPr="00B64D9F" w14:paraId="2E0B265E" w14:textId="77777777" w:rsidTr="009D0A1E">
        <w:tc>
          <w:tcPr>
            <w:tcW w:w="9350" w:type="dxa"/>
          </w:tcPr>
          <w:p w14:paraId="3C01D9BE" w14:textId="2006134E" w:rsidR="00BD5DEA" w:rsidRPr="00B64D9F" w:rsidRDefault="000B2A75" w:rsidP="00B227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B64D9F">
              <w:rPr>
                <w:rFonts w:ascii="Times New Roman" w:hAnsi="Times New Roman"/>
                <w:szCs w:val="24"/>
              </w:rPr>
              <w:t xml:space="preserve">Figure 3. </w:t>
            </w:r>
            <w:r w:rsidR="002453C8" w:rsidRPr="00B64D9F">
              <w:rPr>
                <w:rFonts w:ascii="Times New Roman" w:hAnsi="Times New Roman"/>
                <w:szCs w:val="24"/>
              </w:rPr>
              <w:t xml:space="preserve">Isotopic </w:t>
            </w:r>
            <w:r w:rsidRPr="00B64D9F">
              <w:rPr>
                <w:rFonts w:ascii="Times New Roman" w:hAnsi="Times New Roman"/>
                <w:szCs w:val="24"/>
              </w:rPr>
              <w:t xml:space="preserve">U-Pb </w:t>
            </w:r>
            <w:r w:rsidR="00FC69A9" w:rsidRPr="00B64D9F">
              <w:rPr>
                <w:rFonts w:ascii="Times New Roman" w:hAnsi="Times New Roman"/>
                <w:szCs w:val="24"/>
              </w:rPr>
              <w:t>age of zircon</w:t>
            </w:r>
            <w:r w:rsidR="00B866CF">
              <w:rPr>
                <w:rFonts w:ascii="Times New Roman" w:hAnsi="Times New Roman"/>
                <w:szCs w:val="24"/>
              </w:rPr>
              <w:t>s</w:t>
            </w:r>
            <w:r w:rsidR="00FC69A9" w:rsidRPr="00B64D9F">
              <w:rPr>
                <w:rFonts w:ascii="Times New Roman" w:hAnsi="Times New Roman"/>
                <w:szCs w:val="24"/>
              </w:rPr>
              <w:t xml:space="preserve"> </w:t>
            </w:r>
            <w:r w:rsidR="009D0A1E" w:rsidRPr="00B64D9F">
              <w:rPr>
                <w:rFonts w:ascii="Times New Roman" w:hAnsi="Times New Roman"/>
                <w:szCs w:val="24"/>
              </w:rPr>
              <w:t xml:space="preserve">from Kosmaj monzogranite </w:t>
            </w:r>
            <w:r w:rsidR="00FC69A9" w:rsidRPr="00B64D9F">
              <w:rPr>
                <w:rFonts w:ascii="Times New Roman" w:hAnsi="Times New Roman"/>
                <w:szCs w:val="24"/>
              </w:rPr>
              <w:t xml:space="preserve">on </w:t>
            </w:r>
            <w:r w:rsidRPr="00B64D9F">
              <w:rPr>
                <w:rFonts w:ascii="Times New Roman" w:hAnsi="Times New Roman"/>
                <w:szCs w:val="24"/>
              </w:rPr>
              <w:t xml:space="preserve">concordia diagram </w:t>
            </w:r>
          </w:p>
        </w:tc>
      </w:tr>
    </w:tbl>
    <w:p w14:paraId="71914839" w14:textId="7D9D1705" w:rsidR="00411727" w:rsidRDefault="00411727" w:rsidP="00B227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Cs w:val="24"/>
        </w:rPr>
      </w:pPr>
    </w:p>
    <w:p w14:paraId="7CF60CC9" w14:textId="77777777" w:rsidR="00823F9B" w:rsidRDefault="00823F9B" w:rsidP="00B227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Cs w:val="24"/>
        </w:rPr>
      </w:pPr>
    </w:p>
    <w:p w14:paraId="41BECAAC" w14:textId="77777777" w:rsidR="00AE60E6" w:rsidRDefault="00AE60E6" w:rsidP="00823F9B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/>
          <w:szCs w:val="24"/>
        </w:rPr>
      </w:pPr>
    </w:p>
    <w:p w14:paraId="308EE910" w14:textId="11F010BD" w:rsidR="00823F9B" w:rsidRDefault="00823F9B" w:rsidP="00823F9B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References</w:t>
      </w:r>
    </w:p>
    <w:p w14:paraId="758FD66A" w14:textId="77777777" w:rsidR="00823F9B" w:rsidRDefault="00823F9B" w:rsidP="00823F9B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/>
          <w:szCs w:val="24"/>
        </w:rPr>
      </w:pPr>
    </w:p>
    <w:p w14:paraId="2A2184EA" w14:textId="77777777" w:rsidR="00823F9B" w:rsidRPr="00AE60E6" w:rsidRDefault="00823F9B" w:rsidP="00823F9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Cs w:val="24"/>
          <w:lang w:val="sr-Latn-RS"/>
        </w:rPr>
      </w:pPr>
      <w:r w:rsidRPr="00AE60E6">
        <w:rPr>
          <w:rFonts w:ascii="Times New Roman" w:hAnsi="Times New Roman"/>
          <w:szCs w:val="24"/>
          <w:lang w:val="sr-Latn-RS"/>
        </w:rPr>
        <w:t>Blundy, J.D. Holland, T.J.B., 1990. Calcic amphibole equilibria and a new amphibole-plagioclase geothermometer, Contribution to Mineralogy and Petrology, 104, 208-224.</w:t>
      </w:r>
    </w:p>
    <w:p w14:paraId="6AB86FD9" w14:textId="77777777" w:rsidR="00823F9B" w:rsidRPr="00AE60E6" w:rsidRDefault="00823F9B" w:rsidP="00823F9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Cs w:val="24"/>
          <w:lang w:val="sr-Latn-RS"/>
        </w:rPr>
      </w:pPr>
      <w:r w:rsidRPr="00AE60E6">
        <w:rPr>
          <w:rFonts w:ascii="Times New Roman" w:hAnsi="Times New Roman"/>
          <w:szCs w:val="24"/>
          <w:lang w:val="sr-Latn-RS"/>
        </w:rPr>
        <w:t>Leake, B.E. 1997. Nomenclature of Amphiboles: Report of the Subcommittee of the International Mineralogical Association, Commission on New Minerals and Mineral Names. American Mineralogist, 82, 1019-1037.</w:t>
      </w:r>
    </w:p>
    <w:p w14:paraId="5A8DC997" w14:textId="77777777" w:rsidR="00823F9B" w:rsidRPr="00AE60E6" w:rsidRDefault="00823F9B" w:rsidP="00823F9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Cs w:val="24"/>
          <w:lang w:val="sr-Latn-RS"/>
        </w:rPr>
      </w:pPr>
      <w:r w:rsidRPr="00AE60E6">
        <w:rPr>
          <w:rFonts w:ascii="Times New Roman" w:hAnsi="Times New Roman"/>
          <w:szCs w:val="24"/>
          <w:lang w:val="sr-Latn-RS"/>
        </w:rPr>
        <w:t>Vasković, N. 1987. Petrološke karakteristike moncogranita Kosmaja – radovi Geoinstituta, kniga 20, Beograd, 91-113</w:t>
      </w:r>
    </w:p>
    <w:p w14:paraId="57517312" w14:textId="77777777" w:rsidR="00823F9B" w:rsidRPr="00AE60E6" w:rsidRDefault="00823F9B" w:rsidP="00AE60E6">
      <w:pPr>
        <w:spacing w:after="0" w:line="360" w:lineRule="auto"/>
        <w:ind w:left="360"/>
        <w:jc w:val="both"/>
        <w:rPr>
          <w:rFonts w:cs="Arial"/>
          <w:sz w:val="20"/>
          <w:szCs w:val="20"/>
          <w:lang w:val="sr-Latn-RS"/>
        </w:rPr>
      </w:pPr>
    </w:p>
    <w:p w14:paraId="18708AF0" w14:textId="77777777" w:rsidR="00823F9B" w:rsidRPr="00B64D9F" w:rsidRDefault="00823F9B" w:rsidP="00B227B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Cs w:val="24"/>
        </w:rPr>
      </w:pPr>
    </w:p>
    <w:sectPr w:rsidR="00823F9B" w:rsidRPr="00B64D9F" w:rsidSect="0079271F">
      <w:pgSz w:w="12240" w:h="15840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06364"/>
    <w:multiLevelType w:val="hybridMultilevel"/>
    <w:tmpl w:val="E278B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22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DED"/>
    <w:rsid w:val="00015BC5"/>
    <w:rsid w:val="00072C35"/>
    <w:rsid w:val="000876D1"/>
    <w:rsid w:val="00093C97"/>
    <w:rsid w:val="000B2A75"/>
    <w:rsid w:val="000C43C2"/>
    <w:rsid w:val="000C5B9E"/>
    <w:rsid w:val="000E1FC1"/>
    <w:rsid w:val="00102DED"/>
    <w:rsid w:val="00131A62"/>
    <w:rsid w:val="00157320"/>
    <w:rsid w:val="00166706"/>
    <w:rsid w:val="001B7E25"/>
    <w:rsid w:val="001E6A5F"/>
    <w:rsid w:val="00203C8D"/>
    <w:rsid w:val="00237699"/>
    <w:rsid w:val="00244CD6"/>
    <w:rsid w:val="002453C8"/>
    <w:rsid w:val="00291AC1"/>
    <w:rsid w:val="002B0E55"/>
    <w:rsid w:val="002E259F"/>
    <w:rsid w:val="002F675D"/>
    <w:rsid w:val="00326A3C"/>
    <w:rsid w:val="0033610A"/>
    <w:rsid w:val="003A140C"/>
    <w:rsid w:val="003D37DD"/>
    <w:rsid w:val="003E5290"/>
    <w:rsid w:val="00404F6A"/>
    <w:rsid w:val="00411727"/>
    <w:rsid w:val="00420F78"/>
    <w:rsid w:val="00481319"/>
    <w:rsid w:val="00484085"/>
    <w:rsid w:val="004C6131"/>
    <w:rsid w:val="004D368A"/>
    <w:rsid w:val="004E0BEB"/>
    <w:rsid w:val="004E7CE5"/>
    <w:rsid w:val="004F0415"/>
    <w:rsid w:val="00511925"/>
    <w:rsid w:val="00522940"/>
    <w:rsid w:val="00556E2A"/>
    <w:rsid w:val="00592B9D"/>
    <w:rsid w:val="00595DCE"/>
    <w:rsid w:val="006125B2"/>
    <w:rsid w:val="006C39A8"/>
    <w:rsid w:val="006D4915"/>
    <w:rsid w:val="006D5DED"/>
    <w:rsid w:val="006F1CFB"/>
    <w:rsid w:val="00715A88"/>
    <w:rsid w:val="00786377"/>
    <w:rsid w:val="0079271F"/>
    <w:rsid w:val="00794AC2"/>
    <w:rsid w:val="00797AEC"/>
    <w:rsid w:val="007A3FB0"/>
    <w:rsid w:val="007D0A61"/>
    <w:rsid w:val="007E1F2B"/>
    <w:rsid w:val="008052D8"/>
    <w:rsid w:val="00806183"/>
    <w:rsid w:val="00823F9B"/>
    <w:rsid w:val="00842167"/>
    <w:rsid w:val="00852686"/>
    <w:rsid w:val="00871DB9"/>
    <w:rsid w:val="00886D09"/>
    <w:rsid w:val="008E6D6A"/>
    <w:rsid w:val="008F7ED2"/>
    <w:rsid w:val="0091268D"/>
    <w:rsid w:val="00934804"/>
    <w:rsid w:val="00964FE5"/>
    <w:rsid w:val="009A14EC"/>
    <w:rsid w:val="009D0A1E"/>
    <w:rsid w:val="009F750D"/>
    <w:rsid w:val="00A0000D"/>
    <w:rsid w:val="00A37CD0"/>
    <w:rsid w:val="00A419B0"/>
    <w:rsid w:val="00A51799"/>
    <w:rsid w:val="00A61768"/>
    <w:rsid w:val="00AB08DA"/>
    <w:rsid w:val="00AB0CE9"/>
    <w:rsid w:val="00AE5232"/>
    <w:rsid w:val="00AE60E6"/>
    <w:rsid w:val="00AF13E8"/>
    <w:rsid w:val="00B030FE"/>
    <w:rsid w:val="00B2257D"/>
    <w:rsid w:val="00B227B5"/>
    <w:rsid w:val="00B31ED0"/>
    <w:rsid w:val="00B5030C"/>
    <w:rsid w:val="00B55A5E"/>
    <w:rsid w:val="00B64D9F"/>
    <w:rsid w:val="00B8184C"/>
    <w:rsid w:val="00B866CF"/>
    <w:rsid w:val="00BA437A"/>
    <w:rsid w:val="00BB5059"/>
    <w:rsid w:val="00BB667D"/>
    <w:rsid w:val="00BD5DEA"/>
    <w:rsid w:val="00BF49C3"/>
    <w:rsid w:val="00C365E8"/>
    <w:rsid w:val="00C436EA"/>
    <w:rsid w:val="00C807C3"/>
    <w:rsid w:val="00CA1181"/>
    <w:rsid w:val="00DA4277"/>
    <w:rsid w:val="00DB3C2A"/>
    <w:rsid w:val="00DC74EF"/>
    <w:rsid w:val="00E1641C"/>
    <w:rsid w:val="00E40119"/>
    <w:rsid w:val="00E710FC"/>
    <w:rsid w:val="00E751B5"/>
    <w:rsid w:val="00E9301D"/>
    <w:rsid w:val="00EA5DB2"/>
    <w:rsid w:val="00F35234"/>
    <w:rsid w:val="00F71EED"/>
    <w:rsid w:val="00F731D9"/>
    <w:rsid w:val="00F90D11"/>
    <w:rsid w:val="00FB1DD9"/>
    <w:rsid w:val="00FC69A9"/>
    <w:rsid w:val="00FE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93F1F"/>
  <w15:chartTrackingRefBased/>
  <w15:docId w15:val="{E7B51807-1E0F-4E2D-AFEA-7027842C1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DED"/>
    <w:rPr>
      <w:rFonts w:ascii="Arial" w:eastAsia="Calibri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517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1CF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1CF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F1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8184C"/>
    <w:pPr>
      <w:spacing w:after="0" w:line="240" w:lineRule="auto"/>
    </w:pPr>
    <w:rPr>
      <w:rFonts w:ascii="Arial" w:eastAsia="Calibri" w:hAnsi="Arial" w:cs="Times New Roman"/>
      <w:sz w:val="24"/>
    </w:rPr>
  </w:style>
  <w:style w:type="paragraph" w:styleId="ListParagraph">
    <w:name w:val="List Paragraph"/>
    <w:basedOn w:val="Normal"/>
    <w:uiPriority w:val="34"/>
    <w:qFormat/>
    <w:rsid w:val="00823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jan.kostic@rgf.bg.ac.rs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11e39cf-18b4-4324-a535-6bce847973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076C590875BE4EB6D7F4ECA8A59647" ma:contentTypeVersion="14" ma:contentTypeDescription="Kreiraj novi dokument." ma:contentTypeScope="" ma:versionID="aa2bd4412e21a7e20bc747f75e87de95">
  <xsd:schema xmlns:xsd="http://www.w3.org/2001/XMLSchema" xmlns:xs="http://www.w3.org/2001/XMLSchema" xmlns:p="http://schemas.microsoft.com/office/2006/metadata/properties" xmlns:ns3="f11e39cf-18b4-4324-a535-6bce847973aa" xmlns:ns4="213717c0-a756-497f-ab38-1d80d5bdb308" targetNamespace="http://schemas.microsoft.com/office/2006/metadata/properties" ma:root="true" ma:fieldsID="b40bd0599eb929f4a4568d3c30448432" ns3:_="" ns4:_="">
    <xsd:import namespace="f11e39cf-18b4-4324-a535-6bce847973aa"/>
    <xsd:import namespace="213717c0-a756-497f-ab38-1d80d5bdb3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e39cf-18b4-4324-a535-6bce847973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3717c0-a756-497f-ab38-1d80d5bdb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jeno sa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jeno sa detaljim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eš oznaka pogotka za delj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47B32-7F49-4D70-80C4-A1783860750C}">
  <ds:schemaRefs>
    <ds:schemaRef ds:uri="http://schemas.microsoft.com/office/2006/metadata/properties"/>
    <ds:schemaRef ds:uri="http://schemas.microsoft.com/office/infopath/2007/PartnerControls"/>
    <ds:schemaRef ds:uri="f11e39cf-18b4-4324-a535-6bce847973aa"/>
  </ds:schemaRefs>
</ds:datastoreItem>
</file>

<file path=customXml/itemProps2.xml><?xml version="1.0" encoding="utf-8"?>
<ds:datastoreItem xmlns:ds="http://schemas.openxmlformats.org/officeDocument/2006/customXml" ds:itemID="{6357D646-B8EA-4E78-9E74-BEEB0E2466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1E68F0-8095-48FB-B912-D26299A238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1e39cf-18b4-4324-a535-6bce847973aa"/>
    <ds:schemaRef ds:uri="213717c0-a756-497f-ab38-1d80d5bdb3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 Kostic</dc:creator>
  <cp:keywords/>
  <dc:description/>
  <cp:lastModifiedBy>Danica Sreckovic-Batocanin</cp:lastModifiedBy>
  <cp:revision>8</cp:revision>
  <dcterms:created xsi:type="dcterms:W3CDTF">2023-05-16T07:18:00Z</dcterms:created>
  <dcterms:modified xsi:type="dcterms:W3CDTF">2023-06-30T06:57:00Z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0x01010047076C590875BE4EB6D7F4ECA8A59647</vt:lpwstr>
  </property>
</Properties>
</file>